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784CEA">
      <w:pPr>
        <w:tabs>
          <w:tab w:val="left" w:pos="3600"/>
        </w:tabs>
        <w:jc w:val="center"/>
        <w:rPr>
          <w:rFonts w:asciiTheme="majorHAnsi" w:hAnsiTheme="majorHAnsi"/>
          <w:b/>
          <w:bCs/>
          <w:sz w:val="28"/>
          <w:szCs w:val="28"/>
        </w:rPr>
      </w:pPr>
      <w:r>
        <w:rPr>
          <w:rFonts w:asciiTheme="majorHAnsi" w:hAnsiTheme="majorHAnsi"/>
          <w:b/>
          <w:bCs/>
          <w:sz w:val="28"/>
          <w:szCs w:val="28"/>
        </w:rPr>
        <w:t>PERHITUNGAN HARGA POKOK PRODUKSI (HPP) PADA UMKM CILOR MAKLOR, DAN BAKSO KRITING, SEDAYU</w:t>
      </w:r>
    </w:p>
    <w:p w14:paraId="4D14FCC5">
      <w:pPr>
        <w:pBdr>
          <w:top w:val="none" w:color="auto" w:sz="0" w:space="0"/>
          <w:left w:val="none" w:color="auto" w:sz="0" w:space="0"/>
          <w:bottom w:val="none" w:color="auto" w:sz="0" w:space="0"/>
          <w:right w:val="none" w:color="auto" w:sz="0" w:space="0"/>
          <w:between w:val="none" w:color="auto" w:sz="0" w:space="0"/>
        </w:pBdr>
        <w:jc w:val="center"/>
        <w:rPr>
          <w:rFonts w:eastAsia="Cambria" w:cs="Cambria" w:asciiTheme="majorHAnsi" w:hAnsiTheme="majorHAnsi"/>
          <w:b/>
          <w:bCs/>
          <w:color w:val="000000"/>
          <w:sz w:val="24"/>
          <w:szCs w:val="24"/>
        </w:rPr>
      </w:pPr>
    </w:p>
    <w:p w14:paraId="3931EF27">
      <w:pPr>
        <w:rPr>
          <w:rFonts w:eastAsia="Cambria" w:cs="Cambria" w:asciiTheme="majorHAnsi" w:hAnsiTheme="majorHAnsi"/>
          <w:b/>
          <w:bCs/>
          <w:color w:val="222222"/>
          <w:sz w:val="24"/>
          <w:szCs w:val="24"/>
          <w:vertAlign w:val="superscript"/>
        </w:rPr>
      </w:pPr>
      <w:bookmarkStart w:id="0" w:name="_GoBack"/>
      <w:r>
        <w:rPr>
          <w:rFonts w:eastAsia="Cambria" w:cs="Cambria" w:asciiTheme="majorHAnsi" w:hAnsiTheme="majorHAnsi"/>
          <w:b/>
          <w:bCs/>
          <w:color w:val="222222"/>
          <w:sz w:val="24"/>
          <w:szCs w:val="24"/>
        </w:rPr>
        <w:t>Kamilatan Sabila</w:t>
      </w:r>
    </w:p>
    <w:bookmarkEnd w:id="0"/>
    <w:p w14:paraId="1436670F">
      <w:pPr>
        <w:widowControl/>
        <w:pBdr>
          <w:top w:val="none" w:color="auto" w:sz="0" w:space="0"/>
          <w:left w:val="none" w:color="auto" w:sz="0" w:space="0"/>
          <w:bottom w:val="none" w:color="auto" w:sz="0" w:space="0"/>
          <w:right w:val="none" w:color="auto" w:sz="0" w:space="0"/>
          <w:between w:val="none" w:color="auto" w:sz="0" w:space="0"/>
        </w:pBdr>
        <w:shd w:val="clear" w:color="auto" w:fill="FFFFFF"/>
        <w:rPr>
          <w:rFonts w:eastAsia="Cambria" w:cs="Cambria" w:asciiTheme="majorHAnsi" w:hAnsiTheme="majorHAnsi"/>
          <w:color w:val="222222"/>
          <w:sz w:val="24"/>
          <w:szCs w:val="24"/>
        </w:rPr>
      </w:pPr>
      <w:r>
        <w:rPr>
          <w:rFonts w:eastAsia="Cambria" w:cs="Cambria" w:asciiTheme="majorHAnsi" w:hAnsiTheme="majorHAnsi"/>
          <w:color w:val="222222"/>
          <w:sz w:val="24"/>
          <w:szCs w:val="24"/>
        </w:rPr>
        <w:t>Universitas Mercu Buana Yogyakarta</w:t>
      </w:r>
    </w:p>
    <w:p w14:paraId="65B5886B">
      <w:pPr>
        <w:rPr>
          <w:rFonts w:asciiTheme="majorHAnsi" w:hAnsiTheme="majorHAnsi"/>
          <w:sz w:val="24"/>
          <w:szCs w:val="24"/>
        </w:rPr>
      </w:pPr>
      <w:r>
        <w:fldChar w:fldCharType="begin"/>
      </w:r>
      <w:r>
        <w:instrText xml:space="preserve"> HYPERLINK "mailto:kamilatan802@gmail.com" </w:instrText>
      </w:r>
      <w:r>
        <w:fldChar w:fldCharType="separate"/>
      </w:r>
      <w:r>
        <w:rPr>
          <w:rStyle w:val="15"/>
          <w:rFonts w:asciiTheme="majorHAnsi" w:hAnsiTheme="majorHAnsi"/>
          <w:sz w:val="24"/>
          <w:szCs w:val="24"/>
        </w:rPr>
        <w:t>kamilatan802@gmail.com</w:t>
      </w:r>
      <w:r>
        <w:rPr>
          <w:rStyle w:val="15"/>
          <w:rFonts w:asciiTheme="majorHAnsi" w:hAnsiTheme="majorHAnsi"/>
          <w:sz w:val="24"/>
          <w:szCs w:val="24"/>
        </w:rPr>
        <w:fldChar w:fldCharType="end"/>
      </w:r>
    </w:p>
    <w:p w14:paraId="2E7F38C3">
      <w:pPr>
        <w:pStyle w:val="11"/>
        <w:ind w:left="0" w:right="48" w:firstLine="720"/>
        <w:rPr>
          <w:rFonts w:asciiTheme="majorHAnsi" w:hAnsiTheme="majorHAnsi" w:cstheme="majorHAnsi"/>
        </w:rPr>
      </w:pPr>
    </w:p>
    <w:tbl>
      <w:tblPr>
        <w:tblStyle w:val="9"/>
        <w:tblW w:w="0" w:type="auto"/>
        <w:tblInd w:w="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0"/>
        <w:gridCol w:w="3207"/>
        <w:gridCol w:w="2756"/>
      </w:tblGrid>
      <w:tr w14:paraId="08885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010" w:type="dxa"/>
            <w:tcBorders>
              <w:top w:val="single" w:color="000000" w:sz="4" w:space="0"/>
              <w:left w:val="nil"/>
              <w:bottom w:val="single" w:color="000000" w:sz="4" w:space="0"/>
              <w:right w:val="single" w:color="000000" w:sz="4" w:space="0"/>
            </w:tcBorders>
          </w:tcPr>
          <w:p w14:paraId="61B1656F">
            <w:pPr>
              <w:jc w:val="center"/>
              <w:rPr>
                <w:lang w:val="id-ID"/>
              </w:rPr>
            </w:pPr>
            <w:r>
              <w:t xml:space="preserve">Received: </w:t>
            </w:r>
            <w:r>
              <w:rPr>
                <w:lang w:val="id-ID"/>
              </w:rPr>
              <w:t>0</w:t>
            </w:r>
            <w:r>
              <w:rPr>
                <w:rFonts w:hint="default"/>
                <w:lang w:val="en-US"/>
              </w:rPr>
              <w:t>4</w:t>
            </w:r>
            <w:r>
              <w:t>-</w:t>
            </w:r>
            <w:r>
              <w:rPr>
                <w:lang w:val="id-ID"/>
              </w:rPr>
              <w:t>06</w:t>
            </w:r>
            <w:r>
              <w:t>-202</w:t>
            </w:r>
            <w:r>
              <w:rPr>
                <w:lang w:val="id-ID"/>
              </w:rPr>
              <w:t>6</w:t>
            </w:r>
          </w:p>
        </w:tc>
        <w:tc>
          <w:tcPr>
            <w:tcW w:w="3207" w:type="dxa"/>
            <w:tcBorders>
              <w:top w:val="single" w:color="000000" w:sz="4" w:space="0"/>
              <w:left w:val="single" w:color="000000" w:sz="4" w:space="0"/>
              <w:bottom w:val="single" w:color="000000" w:sz="4" w:space="0"/>
              <w:right w:val="single" w:color="000000" w:sz="4" w:space="0"/>
            </w:tcBorders>
          </w:tcPr>
          <w:p w14:paraId="6D8D2FEF">
            <w:pPr>
              <w:jc w:val="center"/>
              <w:rPr>
                <w:lang w:val="id-ID"/>
              </w:rPr>
            </w:pPr>
            <w:r>
              <w:t>Revised: 1</w:t>
            </w:r>
            <w:r>
              <w:rPr>
                <w:lang w:val="id-ID"/>
              </w:rPr>
              <w:t>5</w:t>
            </w:r>
            <w:r>
              <w:t>-0</w:t>
            </w:r>
            <w:r>
              <w:rPr>
                <w:lang w:val="id-ID"/>
              </w:rPr>
              <w:t>6</w:t>
            </w:r>
            <w:r>
              <w:t>-202</w:t>
            </w:r>
            <w:r>
              <w:rPr>
                <w:lang w:val="id-ID"/>
              </w:rPr>
              <w:t>6</w:t>
            </w:r>
          </w:p>
        </w:tc>
        <w:tc>
          <w:tcPr>
            <w:tcW w:w="2756" w:type="dxa"/>
            <w:tcBorders>
              <w:top w:val="single" w:color="000000" w:sz="4" w:space="0"/>
              <w:left w:val="single" w:color="000000" w:sz="4" w:space="0"/>
              <w:bottom w:val="single" w:color="000000" w:sz="4" w:space="0"/>
              <w:right w:val="nil"/>
            </w:tcBorders>
          </w:tcPr>
          <w:p w14:paraId="5C74D125">
            <w:pPr>
              <w:jc w:val="center"/>
              <w:rPr>
                <w:lang w:val="id-ID"/>
              </w:rPr>
            </w:pPr>
            <w:r>
              <w:t xml:space="preserve">Approved: </w:t>
            </w:r>
            <w:r>
              <w:rPr>
                <w:rFonts w:hint="default"/>
                <w:lang w:val="en-US"/>
              </w:rPr>
              <w:t>21</w:t>
            </w:r>
            <w:r>
              <w:t>-</w:t>
            </w:r>
            <w:r>
              <w:rPr>
                <w:lang w:val="id-ID"/>
              </w:rPr>
              <w:t>06</w:t>
            </w:r>
            <w:r>
              <w:t>-202</w:t>
            </w:r>
            <w:r>
              <w:rPr>
                <w:lang w:val="id-ID"/>
              </w:rPr>
              <w:t>6</w:t>
            </w:r>
          </w:p>
        </w:tc>
      </w:tr>
    </w:tbl>
    <w:p w14:paraId="70E064CA">
      <w:pPr>
        <w:widowControl/>
        <w:pBdr>
          <w:top w:val="none" w:color="auto" w:sz="0" w:space="0"/>
          <w:left w:val="none" w:color="auto" w:sz="0" w:space="0"/>
          <w:bottom w:val="none" w:color="auto" w:sz="0" w:space="0"/>
          <w:right w:val="none" w:color="auto" w:sz="0" w:space="0"/>
          <w:between w:val="none" w:color="auto" w:sz="0" w:space="0"/>
        </w:pBdr>
        <w:ind w:right="48" w:firstLine="720"/>
        <w:jc w:val="center"/>
        <w:rPr>
          <w:rFonts w:eastAsia="Cambria" w:cs="Cambria" w:asciiTheme="majorHAnsi" w:hAnsiTheme="majorHAnsi"/>
          <w:b/>
          <w:bCs/>
          <w:color w:val="000000"/>
          <w:sz w:val="24"/>
          <w:szCs w:val="24"/>
        </w:rPr>
      </w:pPr>
    </w:p>
    <w:p w14:paraId="720D6E17">
      <w:pPr>
        <w:widowControl/>
        <w:pBdr>
          <w:top w:val="none" w:color="auto" w:sz="0" w:space="0"/>
          <w:left w:val="none" w:color="auto" w:sz="0" w:space="0"/>
          <w:bottom w:val="none" w:color="auto" w:sz="0" w:space="0"/>
          <w:right w:val="none" w:color="auto" w:sz="0" w:space="0"/>
          <w:between w:val="none" w:color="auto" w:sz="0" w:space="0"/>
        </w:pBdr>
        <w:ind w:right="48"/>
        <w:jc w:val="center"/>
        <w:rPr>
          <w:rFonts w:asciiTheme="majorHAnsi" w:hAnsiTheme="majorHAnsi"/>
          <w:i/>
          <w:iCs/>
          <w:sz w:val="20"/>
          <w:szCs w:val="20"/>
        </w:rPr>
      </w:pPr>
      <w:r>
        <w:rPr>
          <w:rFonts w:eastAsia="Cambria" w:cs="Cambria" w:asciiTheme="majorHAnsi" w:hAnsiTheme="majorHAnsi"/>
          <w:b/>
          <w:bCs/>
          <w:color w:val="000000"/>
          <w:sz w:val="20"/>
          <w:szCs w:val="20"/>
        </w:rPr>
        <w:t>ABSTRAK</w:t>
      </w:r>
      <w:r>
        <w:rPr>
          <w:rFonts w:asciiTheme="majorHAnsi" w:hAnsiTheme="majorHAnsi"/>
          <w:i/>
          <w:iCs/>
          <w:sz w:val="20"/>
          <w:szCs w:val="20"/>
        </w:rPr>
        <w:t xml:space="preserve"> </w:t>
      </w:r>
    </w:p>
    <w:p w14:paraId="268A47B6">
      <w:pPr>
        <w:widowControl/>
        <w:pBdr>
          <w:top w:val="none" w:color="auto" w:sz="0" w:space="0"/>
          <w:left w:val="none" w:color="auto" w:sz="0" w:space="0"/>
          <w:bottom w:val="none" w:color="auto" w:sz="0" w:space="0"/>
          <w:right w:val="none" w:color="auto" w:sz="0" w:space="0"/>
          <w:between w:val="none" w:color="auto" w:sz="0" w:space="0"/>
        </w:pBdr>
        <w:ind w:right="48"/>
        <w:jc w:val="both"/>
        <w:rPr>
          <w:rFonts w:asciiTheme="majorHAnsi" w:hAnsiTheme="majorHAnsi"/>
          <w:i/>
          <w:iCs/>
          <w:sz w:val="20"/>
          <w:szCs w:val="20"/>
        </w:rPr>
      </w:pPr>
      <w:r>
        <w:rPr>
          <w:rFonts w:asciiTheme="majorHAnsi" w:hAnsiTheme="majorHAnsi"/>
          <w:i/>
          <w:iCs/>
          <w:sz w:val="20"/>
          <w:szCs w:val="20"/>
        </w:rPr>
        <w:t>Pengabdian ini bertujuan untuk memberikan pendampingan perhitungan Harga Pokok Produksi (HPP) pada UMKM Cilor Maklor dan Bakso Keriting di Sedayu agar pelaku usaha mampu menghitung biaya produksi secara akurat menggunakan metode Full Costing sebagai dasar penentuan harga jual yang tepat dan berkelanjutan. Metode pengabdian yang digunakan adalah observasi langsung, wawancara, pencatatan biaya produksi, serta pendampingan perhitungan HPP dengan pendekatan Full Costing yang mencakup biaya bahan baku, tenaga kerja, dan overhead pabrik. Hasil pengabdian menunjukkan bahwa UMKM Cilor Maklor memiliki HPP sebesar Rp469 per porsi dengan laba kotor Rp531 per porsi, sedangkan UMKM Bakso Keriting memiliki HPP sebesar Rp1.074 per porsi dengan laba kotor Rp926 per porsi, serta ditemukan bahwa sebelumnya pelaku usaha belum melakukan pencatatan biaya secara terstruktur sehingga penetapan harga jual belum berbasis perhitungan biaya yang tepat. Simpulan, bahwa pendampingan perhitungan HPP dengan metode Full Costing mampu meningkatkan pemahaman pelaku UMKM dalam mengidentifikasi biaya produksi secara menyeluruh serta membantu menentukan harga jual yang lebih akurat sehingga dapat mendukung keberlanjutan dan profitabilitas usaha.</w:t>
      </w:r>
    </w:p>
    <w:p w14:paraId="0A2243BE">
      <w:pPr>
        <w:widowControl/>
        <w:pBdr>
          <w:top w:val="none" w:color="auto" w:sz="0" w:space="0"/>
          <w:left w:val="none" w:color="auto" w:sz="0" w:space="0"/>
          <w:bottom w:val="none" w:color="auto" w:sz="0" w:space="0"/>
          <w:right w:val="none" w:color="auto" w:sz="0" w:space="0"/>
          <w:between w:val="none" w:color="auto" w:sz="0" w:space="0"/>
        </w:pBdr>
        <w:ind w:right="48"/>
        <w:rPr>
          <w:rFonts w:asciiTheme="majorHAnsi" w:hAnsiTheme="majorHAnsi"/>
          <w:b/>
          <w:bCs/>
          <w:i/>
          <w:iCs/>
          <w:sz w:val="20"/>
          <w:szCs w:val="20"/>
        </w:rPr>
      </w:pPr>
    </w:p>
    <w:p w14:paraId="21EDD754">
      <w:pPr>
        <w:widowControl/>
        <w:pBdr>
          <w:top w:val="none" w:color="auto" w:sz="0" w:space="0"/>
          <w:left w:val="none" w:color="auto" w:sz="0" w:space="0"/>
          <w:bottom w:val="none" w:color="auto" w:sz="0" w:space="0"/>
          <w:right w:val="none" w:color="auto" w:sz="0" w:space="0"/>
          <w:between w:val="none" w:color="auto" w:sz="0" w:space="0"/>
        </w:pBdr>
        <w:ind w:right="48"/>
        <w:rPr>
          <w:rFonts w:asciiTheme="majorHAnsi" w:hAnsiTheme="majorHAnsi"/>
          <w:i/>
          <w:iCs/>
          <w:sz w:val="20"/>
          <w:szCs w:val="20"/>
        </w:rPr>
      </w:pPr>
      <w:r>
        <w:rPr>
          <w:rFonts w:asciiTheme="majorHAnsi" w:hAnsiTheme="majorHAnsi"/>
          <w:b/>
          <w:bCs/>
          <w:i/>
          <w:iCs/>
          <w:sz w:val="20"/>
          <w:szCs w:val="20"/>
        </w:rPr>
        <w:t>Kata Kunci:</w:t>
      </w:r>
      <w:r>
        <w:rPr>
          <w:rFonts w:asciiTheme="majorHAnsi" w:hAnsiTheme="majorHAnsi"/>
          <w:i/>
          <w:iCs/>
          <w:sz w:val="20"/>
          <w:szCs w:val="20"/>
        </w:rPr>
        <w:t xml:space="preserve"> Bakso Keriting, Biaya Produksi, Cilor Maklor, Full Costing, Harga Pokok Produksi</w:t>
      </w:r>
    </w:p>
    <w:p w14:paraId="43C83F5E">
      <w:pPr>
        <w:pStyle w:val="3"/>
        <w:spacing w:line="240" w:lineRule="auto"/>
        <w:ind w:left="0"/>
        <w:rPr>
          <w:rFonts w:eastAsia="Cambria" w:cs="Cambria" w:asciiTheme="majorHAnsi" w:hAnsiTheme="majorHAnsi"/>
          <w:i/>
          <w:iCs/>
        </w:rPr>
      </w:pPr>
    </w:p>
    <w:p w14:paraId="7726AC3D">
      <w:pPr>
        <w:pStyle w:val="3"/>
        <w:spacing w:line="240" w:lineRule="auto"/>
        <w:ind w:left="0"/>
        <w:rPr>
          <w:rFonts w:eastAsia="Cambria" w:cs="Cambria" w:asciiTheme="majorHAnsi" w:hAnsiTheme="majorHAnsi"/>
          <w:b w:val="0"/>
          <w:bCs w:val="0"/>
          <w:color w:val="FF0000"/>
        </w:rPr>
      </w:pPr>
      <w:r>
        <w:rPr>
          <w:rFonts w:eastAsia="Cambria" w:cs="Cambria" w:asciiTheme="majorHAnsi" w:hAnsiTheme="majorHAnsi"/>
        </w:rPr>
        <w:t>PENDAHULUAN</w:t>
      </w:r>
      <w:r>
        <w:rPr>
          <w:rFonts w:eastAsia="Cambria" w:cs="Cambria" w:asciiTheme="majorHAnsi" w:hAnsiTheme="majorHAnsi"/>
          <w:b w:val="0"/>
          <w:bCs w:val="0"/>
          <w:color w:val="FF0000"/>
        </w:rPr>
        <w:t xml:space="preserve"> </w:t>
      </w:r>
    </w:p>
    <w:p w14:paraId="401B3CFB">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Usaha Mikro, Kecil, dan Menengah (UMKM) bukanlah sektor pinggiran, UMKM merupakan salah satu sektor yang memiliki peran penting dalam perekonomian Indonesia karena menjadi tulang punggung perekonomian di Indonesia, menopang kestabilan dan membantu pertumbuhan ekonomi masyarakat, serta dapat membuka lapangan pekerjaan bagi masyarakat di sekitarnya. Menurut data Kementerian Koperasi dan UKM, UMKM menyumbang lebih dari 60% terhadap Produk Domestik Bruto (PDB) Indonesia dan menyerap sekitar 97% tenaga kerja nasional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{"citationItems":[{"id":"ITEM-1","itemData":{"author":[{"dropping-particle":"","family":"Agung","given":"I Gusti","non-dropping-particle":"","parse-names":false,"suffix":""},{"dropping-particle":"","family":"Lestari","given":"Krisna","non-dropping-particle":"","parse-names":false,"suffix":""}],"id":"ITEM-1","issue":"2","issued":{"date-parts":[["2025"]]},"page":"1-11","title":"Tantangan akses pembiayaan umkm terhadap lembaga keuangan formal di indonesia","type":"article-journal","volume":"4"},"uris":["http://www.mendeley.com/documents/?uuid=bb0a3747-1f68-448c-b0c5-e3dc596c3b5a"]}],"mendeley":{"formattedCitation":"(Agung &amp; Lestari, 2025)","plainTextFormattedCitation":"(Agung &amp; Lestari, 2025)","previouslyFormattedCitation":"(Agung &amp; Lestari, 2025)"},"properties":{"noteIndex":0},"schema":"https://github.com/citation-style-language/schema/raw/master/csl-citation.json"}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(Agung &amp; Lestari, 2025)</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Dalam bidang kuliner, adanya perkembangan variasi usaha makanan ringan seperti cilor maklor dan bakso keriting menunjukkan adanya kreativitas pelaku UMKM dalam memenuhi permintaan pasar. Dalam pengelolaan UMKM, laporan kauangan menjadi elemen krusial. Selain laporan ini menunjukkan posisi keuangan perusahaan, laporan ini juga menjadi pedoman bagi pemilik usaha dalam pengambilan keputusan yang berbasis informasi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{"citationItems":[{"id":"ITEM-1","itemData":{"author":[{"dropping-particle":"","family":"Sugiarto","given":"Galih Refa","non-dropping-particle":"","parse-names":false,"suffix":""},{"dropping-particle":"","family":"Budiantara","given":"Martinus","non-dropping-particle":"","parse-names":false,"suffix":""}],"id":"ITEM-1","issue":"1","issued":{"date-parts":[["2024"]]},"page":"61-69","title":"Pelatihan Pencatatan Keuangan pada Usaha Capcin Bu Putri dan Usaha Kue Kering PKK Dusun Klenggotan","type":"article-journal","volume":"5"},"uris":["http://www.mendeley.com/documents/?uuid=a8f49e28-c3e5-4581-adfd-655070abf344"]}],"mendeley":{"formattedCitation":"(Sugiarto &amp; Budiantara, 2024)","plainTextFormattedCitation":"(Sugiarto &amp; Budiantara, 2024)","previouslyFormattedCitation":"(Sugiarto &amp; Budiantara, 2024)"},"properties":{"noteIndex":0},"schema":"https://github.com/citation-style-language/schema/raw/master/csl-citation.json"}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(Sugiarto &amp; Budiantara, 2024)</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w:t>
      </w:r>
    </w:p>
    <w:p w14:paraId="6FD16113">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Dalam menjalankan sebuah usaha, penentuan harga jual adalah salah satu hal penting yang dapat mempengaruhi berjalannya usaha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{"citationItems":[{"id":"ITEM-1","itemData":{"author":[{"dropping-particle":"","family":"Juni","given":"No April","non-dropping-particle":"","parse-names":false,"suffix":""}],"id":"ITEM-1","issue":"1","issued":{"date-parts":[["2025"]]},"page":"1-19","title":"Mengungkap Penentuan Harga Jual Pada Kedai Kopi : Studi Fenomenologi","type":"article-journal","volume":"24"},"uris":["http://www.mendeley.com/documents/?uuid=1a894b44-ed48-45ed-94d0-eccb9b58e8ab"]}],"mendeley":{"formattedCitation":"(Juni, 2025)","manualFormatting":"(Fahreza, 2025)","plainTextFormattedCitation":"(Juni, 2025)","previouslyFormattedCitation":"(Juni, 2025)"},"properties":{"noteIndex":0},"schema":"https://github.com/citation-style-language/schema/raw/master/csl-citation.json"}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(Fahreza, 2025)</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Dalam menentukan harga jual, tidak bisa dilakukan hanya dengan mengikuti harga pasar atau bahkan dengan perkiraan saja tanpa menghitung biaya produksi secara rinci. Banyak pelaku UMKM yang hanya menetapkan harga jual berdasarkan perkiraan atau mengikuti harga kompetitor, tanpa mempertimbangkan struktur biaya produksi secara terperinci. Kondisi itulah yang menyebabkan pelaku UMKM kesulitan dalam mengetahui laba yang sebenarnya diperoleh. Salah satu aspek penting tetapi sangat sering dilupakan oleh para pelaku UMKM adalah perhitungan harga pokok produksi (HPP), ini merupakan masalah yang kecil tetapi dampaknya besar dalam dunia bisnis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{"citationItems":[{"id":"ITEM-1","itemData":{"author":[{"dropping-particle":"","family":"Yustitia","given":"Erika","non-dropping-particle":"","parse-names":false,"suffix":""}],"id":"ITEM-1","issue":"1","issued":{"date-parts":[["2022"]]},"title":"Pendampingan Penentuan Harga Pokok Produksi ( HPP ) dan Harga Jual pada UMKM di Desa Sawahkulon","type":"article-journal","volume":"3"},"uris":["http://www.mendeley.com/documents/?uuid=be741a35-b257-40e3-a5ff-77833043ab5a"]}],"mendeley":{"formattedCitation":"(Yustitia, 2022)","plainTextFormattedCitation":"(Yustitia, 2022)","previouslyFormattedCitation":"(Yustitia, 2022)"},"properties":{"noteIndex":0},"schema":"https://github.com/citation-style-language/schema/raw/master/csl-citation.json"}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(Yustitia, 2022)</w:t>
      </w:r>
      <w:r>
        <w:rPr>
          <w:rFonts w:eastAsia="Cambria" w:cs="Cambria" w:asciiTheme="majorHAnsi" w:hAnsiTheme="majorHAnsi"/>
          <w:sz w:val="24"/>
          <w:szCs w:val="24"/>
        </w:rPr>
        <w:fldChar w:fldCharType="end"/>
      </w:r>
      <w:r>
        <w:rPr>
          <w:rFonts w:eastAsia="Cambria" w:cs="Cambria" w:asciiTheme="majorHAnsi" w:hAnsiTheme="majorHAnsi"/>
          <w:sz w:val="24"/>
          <w:szCs w:val="24"/>
        </w:rPr>
        <w:t>.</w:t>
      </w:r>
    </w:p>
    <w:p w14:paraId="534E98AF">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Harga pokok produksi (HPP) mencakup seluruh biaya langsung dan tidak langsung yang dikeluarkan dalam proses produksi, seperti biaya bahan baku, biaya tenaga kerja, hingga biaya overhead pabrik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Di","given":"Costing","non-dropping-particle":"","parse-names":false,"suffix":""},{"dropping-particle":"V","family":"Eka","given":"C","non-dropping-particle":"","parse-names":false,"suffix":""},{"dropping-particle":"","family":"Tabalong","given":"Jaya","non-dropping-particle":"","parse-names":false,"suffix":""}],"id":"ITEM-1","issued":{"date-parts":[["2025"]]},"page":"2182-2193","title":"ISSN : 2723-0937 DOI. 10.35722/japb Https://jurnal.stiatabalong.ac.id/index.php/JAPB","type":"article-journal","volume":"8"},"uris":["http://www.mendeley.com/documents/?uuid=47785a01-8c7a-43ab-8ec8-b339b06627bc"]}],"mendeley":{"formattedCitation":"(Di et al., 2025)","manualFormatting":"(Dhea Indah et al., 2025)","plainTextFormattedCitation":"(Di et al., 2025)","previouslyFormattedCitation":"(Di et al., 2025)"},"properties":{"noteIndex":0},"schema":"https://github.com/citation-style-language/schema/raw/master/csl-citation.json"}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(Dhea Indah et al., 2025)</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Penentuan harga pokok produksi yang akurat sangat dibutuhkan oleh perusahaan, karena untuk mendapatkan keuntungan yang sesuai dengan harapan perusahaan, manajemen memerlukan penentuan harga pokok produksi yang akurat sebagai dasar pengambilan keputusan harga jual yang tepat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Penentuan","given":"Dalam","non-dropping-particle":"","parse-names":false,"suffix":""},{"dropping-particle":"","family":"Jual","given":"Harga","non-dropping-particle":"","parse-names":false,"suffix":""}],"id":"ITEM-1","issue":"4","issued":{"date-parts":[["2021"]]},"page":"121-128","title":"Nusantara Hasana Journal","type":"article-journal","volume":"1"},"uris":["http://www.mendeley.com/documents/?uuid=d8189613-c483-4cfb-8c28-8ec9fec1a10d"]}],"mendeley":{"formattedCitation":"(Penentuan &amp; Jual, 2021)","manualFormatting":"(Astri, 2021)","plainTextFormattedCitation":"(Penentuan &amp; Jual, 2021)","previouslyFormattedCitation":"(Penentuan &amp; Jual, 2021)"},"properties":{"noteIndex":0},"schema":"https://github.com/citation-style-language/schema/raw/master/csl-citation.json"}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(Astri, 2021)</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Perkembangan industri dan persaingan usaha mengharuskan pelaku bisnis UMKM melakukan perhitungan harga pokok produksi secara tepat agar dapat menetukan harga jual produk tau jasa yang dihasilkannya dengan benar sebagai dasar pengambilan keputusan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Wahyuni","given":"Ika","non-dropping-particle":"","parse-names":false,"suffix":""},{"dropping-particle":"","family":"Lestari","given":"Ayu","non-dropping-particle":"","parse-names":false,"suffix":""},{"dropping-particle":"","family":"Dewi","given":"R Rosiyana","non-dropping-particle":"","parse-names":false,"suffix":""},{"dropping-particle":"","family":"Ariani","given":"Marieta","non-dropping-particle":"","parse-names":false,"suffix":""}],"id":"ITEM-1","issued":{"date-parts":[["2023"]]},"page":"60-68","title":"Pelatihan Perhitungan Harga Pokok Produksi ( HPP ) dan Penyusunan Laporan Laba Rugi Bagi Komunitas UMKM di Provinsi Lampung","type":"article-journal","volume":"06"},"uris":["http://www.mendeley.com/documents/?uuid=652b3ee8-8c63-4c8c-9e80-1bfb1f62bcbe"]}],"mendeley":{"formattedCitation":"(Wahyuni et al., 2023)","plainTextFormattedCitation":"(Wahyuni et al., 2023)","previouslyFormattedCitation":"(Wahyuni et al., 2023)"},"properties":{"noteIndex":0},"schema":"https://github.com/citation-style-language/schema/raw/master/csl-citation.json"}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(Wahyuni et al., 2023)</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Perhitungan HPP sangat penting karena dapat digunakan untuk dasar dalam menentukan harga jual produk, mengetahui realisasi biaya produksi, menghitung laba atau rugi, menentukan harga pokok persediaan produk jadi dan produk dalam proses yang disajikan dalam neraca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{"citationItems":[{"id":"ITEM-1","itemData":{"author":[{"dropping-particle":"","family":"Pada","given":"Jual","non-dropping-particle":"","parse-names":false,"suffix":""},{"dropping-particle":"","family":"Ud","given":"U K M","non-dropping-particle":"","parse-names":false,"suffix":""},{"dropping-particle":"","family":"Furnitur","given":"Mutiara","non-dropping-particle":"","parse-names":false,"suffix":""},{"dropping-particle":"","family":"Prihanisetyo","given":"Adi","non-dropping-particle":"","parse-names":false,"suffix":""}],"id":"ITEM-1","issue":"1","issued":{"date-parts":[["2021"]]},"page":"81-98","title":"No Title","type":"article-journal","volume":"7"},"uris":["http://www.mendeley.com/documents/?uuid=9d4b1576-0c5b-4d17-afca-ae72fbbbd656"]}],"mendeley":{"formattedCitation":"(Pada et al., 2021)","manualFormatting":"(Adi Prihanisetyo et al., 2021)","plainTextFormattedCitation":"(Pada et al., 2021)","previouslyFormattedCitation":"(Pada et al., 2021)"},"properties":{"noteIndex":0},"schema":"https://github.com/citation-style-language/schema/raw/master/csl-citation.json"}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(Adi Prihanisetyo et al., 2021)</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Menghitung HPP dengan tepat dapat membantu pelaku usaha mengetahui biaya produksi secara detail sehingga dapat meminimalisir risiko kerugian. Apabila HPP tidak dihitung dengan tepat dan penentuan harga jual yang hanya mengikuti kompetitor tanpa mengetahui margin laba bersih yang pasti, maka akan terdapat risiko penetapan harga jual yang terlalu rendah sehingga dapat merugikan usaha, atau bahkan penetapan harga jual yang terlalu tinggi sehingga dapat kehilangan daya saing, yang dapat menghambat pertumbuhan bisnis untuk jangka panjang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Jasa","given":"Usaha","non-dropping-particle":"","parse-names":false,"suffix":""},{"dropping-particle":"","family":"Tailor","given":"Nayla","non-dropping-particle":"","parse-names":false,"suffix":""},{"dropping-particle":"","family":"Kadir","given":"Nurain Radjak","non-dropping-particle":"","parse-names":false,"suffix":""},{"dropping-particle":"","family":"Blongkod","given":"Harun","non-dropping-particle":"","parse-names":false,"suffix":""},{"dropping-particle":"","family":"Bokiu","given":"Zulkifli","non-dropping-particle":"","parse-names":false,"suffix":""}],"id":"ITEM-1","issue":"2020","issued":{"date-parts":[["2025"]]},"page":"229-241","title":"Penerapan Perhitungan Harga Pokok Produksi Menggunakan Metode Full Costing Dalam Menentukkan Harga Jual Pada","type":"article-journal"},"uris":["http://www.mendeley.com/documents/?uuid=a1fa5c5f-ee53-4466-9a0c-658b98f1540e"]}],"mendeley":{"formattedCitation":"(Jasa et al., 2025)","manualFormatting":"(Kadir et al., 2025)","plainTextFormattedCitation":"(Jasa et al., 2025)","previouslyFormattedCitation":"(Jasa et al., 2025)"},"properties":{"noteIndex":0},"schema":"https://github.com/citation-style-language/schema/raw/master/csl-citation.json"}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(Kadir et al., 2025)</w:t>
      </w:r>
      <w:r>
        <w:rPr>
          <w:rFonts w:eastAsia="Cambria" w:cs="Cambria" w:asciiTheme="majorHAnsi" w:hAnsiTheme="majorHAnsi"/>
          <w:sz w:val="24"/>
          <w:szCs w:val="24"/>
        </w:rPr>
        <w:fldChar w:fldCharType="end"/>
      </w:r>
      <w:r>
        <w:rPr>
          <w:rFonts w:eastAsia="Cambria" w:cs="Cambria" w:asciiTheme="majorHAnsi" w:hAnsiTheme="majorHAnsi"/>
          <w:sz w:val="24"/>
          <w:szCs w:val="24"/>
        </w:rPr>
        <w:t>.</w:t>
      </w:r>
    </w:p>
    <w:p w14:paraId="4F80085B">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Metode </w:t>
      </w:r>
      <w:r>
        <w:rPr>
          <w:rFonts w:eastAsia="Cambria" w:cs="Cambria" w:asciiTheme="majorHAnsi" w:hAnsiTheme="majorHAnsi"/>
          <w:i/>
          <w:iCs/>
          <w:sz w:val="24"/>
          <w:szCs w:val="24"/>
        </w:rPr>
        <w:t>Full Costing</w:t>
      </w:r>
      <w:r>
        <w:rPr>
          <w:rFonts w:eastAsia="Cambria" w:cs="Cambria" w:asciiTheme="majorHAnsi" w:hAnsiTheme="majorHAnsi"/>
          <w:sz w:val="24"/>
          <w:szCs w:val="24"/>
        </w:rPr>
        <w:t xml:space="preserve"> merupakan metode perhitungan biaya produksi yang memasukkan semua unsur dalam biaya produksi, baik biaya bahan baku, maupun biaya overhead pabrik. Bagi perusahaaan manufaktur, metode </w:t>
      </w:r>
      <w:r>
        <w:rPr>
          <w:rFonts w:eastAsia="Cambria" w:cs="Cambria" w:asciiTheme="majorHAnsi" w:hAnsiTheme="majorHAnsi"/>
          <w:i/>
          <w:iCs/>
          <w:sz w:val="24"/>
          <w:szCs w:val="24"/>
        </w:rPr>
        <w:t>Full Costing</w:t>
      </w:r>
      <w:r>
        <w:rPr>
          <w:rFonts w:eastAsia="Cambria" w:cs="Cambria" w:asciiTheme="majorHAnsi" w:hAnsiTheme="majorHAnsi"/>
          <w:sz w:val="24"/>
          <w:szCs w:val="24"/>
        </w:rPr>
        <w:t xml:space="preserve"> ini sangat dianjurkan, karena perhitungannya sangat lengkap dan juga detail karena menggunakan semua biaya produksi tanpa terkecuali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Menggunakan","given":"Produksi","non-dropping-particle":"","parse-names":false,"suffix":""},{"dropping-particle":"","family":"Full","given":"Metode","non-dropping-particle":"","parse-names":false,"suffix":""},{"dropping-particle":"","family":"Pada","given":"Costing","non-dropping-particle":"","parse-names":false,"suffix":""},{"dropping-particle":"","family":"El","given":"Umkm","non-dropping-particle":"","parse-names":false,"suffix":""}],"id":"ITEM-1","issued":{"date-parts":[["2025"]]},"page":"100-108","title":"Nusantara Entrepreneurship and Management Review Analisis Perhitungan Harga Pokok","type":"article-journal"},"uris":["http://www.mendeley.com/documents/?uuid=14433c2a-0d72-47c0-b45a-6c0f189cd23b"]}],"mendeley":{"formattedCitation":"(Menggunakan et al., 2025)","manualFormatting":"(Amal &amp; Sofa et al., 2025)","plainTextFormattedCitation":"(Menggunakan et al., 2025)","previouslyFormattedCitation":"(Menggunakan et al., 2025)"},"properties":{"noteIndex":0},"schema":"https://github.com/citation-style-language/schema/raw/master/csl-citation.json"}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(Amal &amp; Sofa et al., 2025)</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Berdasarkan kondisi tersebut, kegiatan ini dilakukan untuk menghitung harga pokok produksi pada UMKM Cilor Maklor dan UMKM Bakso Keriting di Sedayu dengan menggunakan metode </w:t>
      </w:r>
      <w:r>
        <w:rPr>
          <w:rFonts w:eastAsia="Cambria" w:cs="Cambria" w:asciiTheme="majorHAnsi" w:hAnsiTheme="majorHAnsi"/>
          <w:i/>
          <w:iCs/>
          <w:sz w:val="24"/>
          <w:szCs w:val="24"/>
        </w:rPr>
        <w:t>Full Costing</w:t>
      </w:r>
      <w:r>
        <w:rPr>
          <w:rFonts w:eastAsia="Cambria" w:cs="Cambria" w:asciiTheme="majorHAnsi" w:hAnsiTheme="majorHAnsi"/>
          <w:sz w:val="24"/>
          <w:szCs w:val="24"/>
        </w:rPr>
        <w:t xml:space="preserve"> agar pelaku usaha dapat menentukan harga jual produk secara lebih tepat.</w:t>
      </w:r>
    </w:p>
    <w:p w14:paraId="74328C52">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sz w:val="24"/>
          <w:szCs w:val="24"/>
        </w:rPr>
      </w:pPr>
      <w:r>
        <w:rPr>
          <w:rFonts w:eastAsia="Cambria" w:cs="Cambria" w:asciiTheme="majorHAnsi" w:hAnsiTheme="majorHAnsi"/>
          <w:sz w:val="24"/>
          <w:szCs w:val="24"/>
        </w:rPr>
        <w:t>Rumusan masalah dalam kegiatan ini adalah bagaimana perhitungan harga pokok produksi yang akurat untuk produk pada UMKM Cilor Maklor dan UMKM Bakso Keriting di Sedayu menurut teori akuntansi biaya, serta apakah terdapat selisih atau perbedaan antara harga jual yang ditetapkan saat ini dengan harga jual yang seharusnya berdasarkan perhitungan HPP yang tepat. Berdasarkan rumusan masalah tersebut, maka kegiatan ini bertujuan untuk menghitung harga pokok produksi (HPP) pada UMKM Cilor Maklor dan Bakso Keriting di Sedayu dengan menerapkan prinsip-prinsip akuntansi biaya yang akurat, serta untuk mengetahui apakah terdapat selisih antara harga jual yang saat ini diterapkan oleh pelaku usaha dengan harga jual ideal berdasarkan perhitungan biaya produksi yang sebenarnya.</w:t>
      </w:r>
    </w:p>
    <w:p w14:paraId="74901969">
      <w:pPr>
        <w:pBdr>
          <w:top w:val="none" w:color="auto" w:sz="0" w:space="0"/>
          <w:left w:val="none" w:color="auto" w:sz="0" w:space="0"/>
          <w:bottom w:val="none" w:color="auto" w:sz="0" w:space="0"/>
          <w:right w:val="none" w:color="auto" w:sz="0" w:space="0"/>
          <w:between w:val="none" w:color="auto" w:sz="0" w:space="0"/>
        </w:pBdr>
        <w:rPr>
          <w:rFonts w:eastAsia="Cambria" w:cs="Cambria" w:asciiTheme="majorHAnsi" w:hAnsiTheme="majorHAnsi"/>
          <w:sz w:val="24"/>
          <w:szCs w:val="24"/>
        </w:rPr>
      </w:pPr>
    </w:p>
    <w:p w14:paraId="6FFF3E60">
      <w:pPr>
        <w:pStyle w:val="3"/>
        <w:spacing w:line="240" w:lineRule="auto"/>
        <w:ind w:left="0"/>
        <w:rPr>
          <w:rFonts w:eastAsia="Cambria" w:cs="Cambria" w:asciiTheme="majorHAnsi" w:hAnsiTheme="majorHAnsi"/>
        </w:rPr>
      </w:pPr>
      <w:r>
        <w:rPr>
          <w:rFonts w:eastAsia="Cambria" w:cs="Cambria" w:asciiTheme="majorHAnsi" w:hAnsiTheme="majorHAnsi"/>
        </w:rPr>
        <w:t xml:space="preserve">METODE KEGIATAN  </w:t>
      </w:r>
    </w:p>
    <w:p w14:paraId="195E1E13">
      <w:pPr>
        <w:pBdr>
          <w:top w:val="none" w:color="auto" w:sz="0" w:space="0"/>
          <w:left w:val="none" w:color="auto" w:sz="0" w:space="0"/>
          <w:bottom w:val="none" w:color="auto" w:sz="0" w:space="0"/>
          <w:right w:val="none" w:color="auto" w:sz="0" w:space="0"/>
          <w:between w:val="none" w:color="auto" w:sz="0" w:space="0"/>
        </w:pBdr>
        <w:ind w:right="155"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Metode yang digunakan dalam kegiatan ini adalah metode observasi langsung dan pendampingan terhadap kegiatan produksi pada UMKM Cilor Maklor dan UMKM Bakso Keriting di wilayah Sedayu, Yogyakarta. Observasi dilakukan secara langsung di lokasi usaha selama satu minggu pada bulan Mei 2023 untuk mengamati proses penyajian produk kepada konsumen. Pengumpulan data dilakukan dengan mencatat seluruh biaya produksi harian yang digunakan dalam proses pembuatan produk, baik berupa biaya tetap maupun biaya variable. Teknik pengumpulan data yang digunakan yaitu wawancara dengan pemilik usaha, dan pengamatan langsung kegiatan operasional UMKM tersebut.  </w:t>
      </w:r>
    </w:p>
    <w:p w14:paraId="2E08D6DF">
      <w:pPr>
        <w:pBdr>
          <w:top w:val="none" w:color="auto" w:sz="0" w:space="0"/>
          <w:left w:val="none" w:color="auto" w:sz="0" w:space="0"/>
          <w:bottom w:val="none" w:color="auto" w:sz="0" w:space="0"/>
          <w:right w:val="none" w:color="auto" w:sz="0" w:space="0"/>
          <w:between w:val="none" w:color="auto" w:sz="0" w:space="0"/>
        </w:pBdr>
        <w:ind w:right="155"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Populasi dalam kegiatan ini adalah seluruh data biaya produksi yang dikeluarkan oleh kedua UMKM dalam kegiatan operasional harian. Sampel yang digunakan adalah data biaya produksi harian selama periode pengamatan. Pengambilan sampel dilakukan dengan metode </w:t>
      </w:r>
      <w:r>
        <w:rPr>
          <w:rFonts w:eastAsia="Cambria" w:cs="Cambria" w:asciiTheme="majorHAnsi" w:hAnsiTheme="majorHAnsi"/>
          <w:i/>
          <w:iCs/>
          <w:sz w:val="24"/>
          <w:szCs w:val="24"/>
        </w:rPr>
        <w:t>purposive sampling</w:t>
      </w:r>
      <w:r>
        <w:rPr>
          <w:rFonts w:eastAsia="Cambria" w:cs="Cambria" w:asciiTheme="majorHAnsi" w:hAnsiTheme="majorHAnsi"/>
          <w:sz w:val="24"/>
          <w:szCs w:val="24"/>
        </w:rPr>
        <w:t xml:space="preserve">, yaitu pemilihan sampel secara sengaja berdasarkan pertimbangan relevansi data terhadap tujuan kegiatan. Variabel yang diamati berfokus pada seluruh komponen biaya yang membentuk harga pokok produksi (HPP) berdasarkan pendekatan metode </w:t>
      </w:r>
      <w:r>
        <w:rPr>
          <w:rFonts w:eastAsia="Cambria" w:cs="Cambria" w:asciiTheme="majorHAnsi" w:hAnsiTheme="majorHAnsi"/>
          <w:i/>
          <w:iCs/>
          <w:sz w:val="24"/>
          <w:szCs w:val="24"/>
        </w:rPr>
        <w:t>Full Costing</w:t>
      </w:r>
      <w:r>
        <w:rPr>
          <w:rFonts w:eastAsia="Cambria" w:cs="Cambria" w:asciiTheme="majorHAnsi" w:hAnsiTheme="majorHAnsi"/>
          <w:sz w:val="24"/>
          <w:szCs w:val="24"/>
        </w:rPr>
        <w:t xml:space="preserve">, yaitu metode yang memperhitungkan seluruh biaya produksi baik biaya variabel maupun biaya tetap. Perhitungan dilakukan dengan menjumlahkan seluruh biaya produksi kemudian dibagi dengan jumlah produk yang dihasilkan setiap hari produksi. </w:t>
      </w:r>
    </w:p>
    <w:p w14:paraId="19B3B03C">
      <w:pPr>
        <w:pBdr>
          <w:top w:val="none" w:color="auto" w:sz="0" w:space="0"/>
          <w:left w:val="none" w:color="auto" w:sz="0" w:space="0"/>
          <w:bottom w:val="none" w:color="auto" w:sz="0" w:space="0"/>
          <w:right w:val="none" w:color="auto" w:sz="0" w:space="0"/>
          <w:between w:val="none" w:color="auto" w:sz="0" w:space="0"/>
        </w:pBdr>
        <w:ind w:right="155" w:firstLine="720"/>
        <w:jc w:val="both"/>
        <w:rPr>
          <w:rFonts w:eastAsia="Cambria" w:cs="Cambria" w:asciiTheme="majorHAnsi" w:hAnsiTheme="majorHAnsi"/>
          <w:sz w:val="24"/>
          <w:szCs w:val="24"/>
        </w:rPr>
      </w:pPr>
      <w:r>
        <w:rPr>
          <w:rFonts w:eastAsia="Cambria" w:cs="Cambria" w:asciiTheme="majorHAnsi" w:hAnsiTheme="majorHAnsi"/>
          <w:i/>
          <w:iCs/>
          <w:sz w:val="24"/>
          <w:szCs w:val="24"/>
        </w:rPr>
        <w:t>Full Costing</w:t>
      </w:r>
      <w:r>
        <w:rPr>
          <w:rFonts w:eastAsia="Cambria" w:cs="Cambria" w:asciiTheme="majorHAnsi" w:hAnsiTheme="majorHAnsi"/>
          <w:sz w:val="24"/>
          <w:szCs w:val="24"/>
        </w:rPr>
        <w:t xml:space="preserve"> adalah metode penentuan kos produksi yang memperhitungkan semua unsur biaya produksi ke dalam kos produksi, yang terdiri dari biaya bahan baku, biaya tenaga kerja dan biaya overhead pabrik baik yang berperilaku variabel maupun tetap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Ukm","given":"Studi","non-dropping-particle":"","parse-names":false,"suffix":""},{"dropping-particle":"","family":"Crispy","given":"Jamur","non-dropping-particle":"","parse-names":false,"suffix":""}],"id":"ITEM-1","issue":"1","issued":{"date-parts":[["2022"]]},"title":"JURNAL AKUNTANSI DAN EKONOMI BISNIS VOL. 1 No. 1 April 2022","type":"article-journal","volume":"1"},"uris":["http://www.mendeley.com/documents/?uuid=79dcde7a-d58d-467f-b702-9f50fa025e35"]}],"mendeley":{"formattedCitation":"(Ukm &amp; Crispy, 2022)","manualFormatting":"(Auliya &amp; Dion, 2022)","plainTextFormattedCitation":"(Ukm &amp; Crispy, 2022)","previouslyFormattedCitation":"(Ukm &amp; Crispy, 2022)"},"properties":{"noteIndex":0},"schema":"https://github.com/citation-style-language/schema/raw/master/csl-citation.json"}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(Auliya &amp; Dion, 2022)</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Full Costing lebih banyak digunakan oleh para manajer perusahaan untuk pengambilan keputusan jangka panjang, dan memungkinkan manajer perusahaan dalam meningkatkan pendapatan operasional dengan meningkatkan produksi bahkan ketika permintaan sedang surut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{"citationItems":[{"id":"ITEM-1","itemData":{"author":[{"dropping-particle":"","family":"Noviasari","given":"Evi","non-dropping-particle":"","parse-names":false,"suffix":""}],"id":"ITEM-1","issue":"1","issued":{"date-parts":[["2020"]]},"title":"Peranan Perhitungan Harga Pokok Produksi Pendekatan Full Costing Dalam Menentukan Harga Jual Dengan Metode Cost Plus Pricing","type":"article-journal","volume":"8"},"uris":["http://www.mendeley.com/documents/?uuid=d13bbc5a-4186-446d-8f39-2c517d773dbf"]}],"mendeley":{"formattedCitation":"(Noviasari, 2020)","plainTextFormattedCitation":"(Noviasari, 2020)","previouslyFormattedCitation":"(Noviasari, 2020)"},"properties":{"noteIndex":0},"schema":"https://github.com/citation-style-language/schema/raw/master/csl-citation.json"}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(Noviasari, 2020)</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Dalam penerapannya, metode Full Costing memiliki kelebihan yaitu penjumlahan menggunakan seluruh biaya, baik biaya tetap maupun biaya variabel, sehingga dapat menjadi alat analisis yang tepat dalam menentukan harga jual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{"citationItems":[{"id":"ITEM-1","itemData":{"author":[{"dropping-particle":"","family":"Purwanto","given":"Eko","non-dropping-particle":"","parse-names":false,"suffix":""},{"dropping-particle":"","family":"Watini","given":"Sinta Sukma","non-dropping-particle":"","parse-names":false,"suffix":""}],"id":"ITEM-1","issued":{"date-parts":[["2020"]]},"title":"ANALISIS HARGA POKOK PRODUKSI MENGGUNAKAN METODE FULL COSTING DALAM PENETAPAN HARGA JUAL ( STUDI KASUS UNIT USAHA REGAR FRUIT )","type":"article-journal"},"uris":["http://www.mendeley.com/documents/?uuid=1de89df3-3a5a-4399-a562-8c91e4786fcf"]}],"mendeley":{"formattedCitation":"(Purwanto &amp; Watini, 2020)","plainTextFormattedCitation":"(Purwanto &amp; Watini, 2020)","previouslyFormattedCitation":"(Purwanto &amp; Watini, 2020)"},"properties":{"noteIndex":0},"schema":"https://github.com/citation-style-language/schema/raw/master/csl-citation.json"}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(Purwanto &amp; Watini, 2020)</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Harga pokok yaitu sejumlah nilai aktiva, apabila selama tahun berjalan aktiva tersebut digunakan untuk mendapatkan penghasilan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{"citationItems":[{"id":"ITEM-1","itemData":{"author":[{"dropping-particle":"","family":"Issn","given":"Jurnal Akunida","non-dropping-particle":"","parse-names":false,"suffix":""}],"id":"ITEM-1","issued":{"date-parts":[["2022"]]},"page":"65-75","title":"No Title","type":"article-journal","volume":"8"},"uris":["http://www.mendeley.com/documents/?uuid=b1aaaa6d-46ef-4d90-b602-a022ab5fffe3"]}],"mendeley":{"formattedCitation":"(Issn, 2022)","manualFormatting":"(Triwidatin, et.all, 2022)","plainTextFormattedCitation":"(Issn, 2022)","previouslyFormattedCitation":"(Issn, 2022)"},"properties":{"noteIndex":0},"schema":"https://github.com/citation-style-language/schema/raw/master/csl-citation.json"}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(Triwidatin, et.all, 2022)</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Perhitungan harga pokok produksi sangat penting karena informasi harga pokok produksi bermanfaat untuk menentukan harga jual produk. Harga pokok produksi (HPP) adalah biaya yang diperlukan untuk memproses suatu produk. Biaya produksi merupakan biaya-biaya yang melekat pada produk, mencakup biaya langsung maupun biaya tidak langsung, dan dapat didefinisikan sebagai kegiatan pengolahan bahan baku menjadi produk jadi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{"citationItems":[{"id":"ITEM-1","itemData":{"author":[{"dropping-particle":"","family":"Akuntansi","given":"Jurnal","non-dropping-particle":"","parse-names":false,"suffix":""},{"dropping-particle":"","family":"Ekonomi","given":"Manajemen D A N","non-dropping-particle":"","parse-names":false,"suffix":""},{"dropping-particle":"","family":"Restu","given":"Panca","non-dropping-particle":"","parse-names":false,"suffix":""},{"dropping-particle":"","family":"Harefa","given":"Anugerah","non-dropping-particle":"","parse-names":false,"suffix":""},{"dropping-particle":"","family":"Zebua","given":"Serniati","non-dropping-particle":"","parse-names":false,"suffix":""},{"dropping-particle":"","family":"Bawamenewi","given":"Arozatulo","non-dropping-particle":"","parse-names":false,"suffix":""}],"id":"ITEM-1","issue":"2","issued":{"date-parts":[["2022"]]},"page":"218-223","title":"Analisis Biaya Produksi Dengan Menggunakan Metode Full Costing Dalam Perhitungan Harga Pokok Produksi","type":"article-journal","volume":"1"},"uris":["http://www.mendeley.com/documents/?uuid=034ce682-8a49-4fd7-8e7f-2d0f052884f8"]}],"mendeley":{"formattedCitation":"(Akuntansi et al., 2022)","manualFormatting":"(Harefa et al., 2022)","plainTextFormattedCitation":"(Akuntansi et al., 2022)"},"properties":{"noteIndex":0},"schema":"https://github.com/citation-style-language/schema/raw/master/csl-citation.json"}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(Harefa et al., 2022)</w:t>
      </w:r>
      <w:r>
        <w:rPr>
          <w:rFonts w:eastAsia="Cambria" w:cs="Cambria" w:asciiTheme="majorHAnsi" w:hAnsiTheme="majorHAnsi"/>
          <w:sz w:val="24"/>
          <w:szCs w:val="24"/>
        </w:rPr>
        <w:fldChar w:fldCharType="end"/>
      </w:r>
      <w:r>
        <w:rPr>
          <w:rFonts w:eastAsia="Cambria" w:cs="Cambria" w:asciiTheme="majorHAnsi" w:hAnsiTheme="majorHAnsi"/>
          <w:sz w:val="24"/>
          <w:szCs w:val="24"/>
        </w:rPr>
        <w:t>.</w:t>
      </w:r>
    </w:p>
    <w:p w14:paraId="17F7B3AF">
      <w:pPr>
        <w:pBdr>
          <w:top w:val="none" w:color="auto" w:sz="0" w:space="0"/>
          <w:left w:val="none" w:color="auto" w:sz="0" w:space="0"/>
          <w:bottom w:val="none" w:color="auto" w:sz="0" w:space="0"/>
          <w:right w:val="none" w:color="auto" w:sz="0" w:space="0"/>
          <w:between w:val="none" w:color="auto" w:sz="0" w:space="0"/>
        </w:pBdr>
        <w:ind w:right="155"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 Biaya produksi terdiri atas biaya bahan, tenaga kerja dan overhead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{"citationItems":[{"id":"ITEM-1","itemData":{"author":[{"dropping-particle":"","family":"Umkm","given":"Pelaku","non-dropping-particle":"","parse-names":false,"suffix":""},{"dropping-particle":"","family":"Kabupaten","given":"D I","non-dropping-particle":"","parse-names":false,"suffix":""}],"id":"ITEM-1","issue":"02","issued":{"date-parts":[["2023"]]},"page":"1-10","title":"PENDAMPINGAN PENYUSUNAN HARGA POKOK PRODUKSI BAGI PELAKU UMKM DI KABUPATEN PONOROGO Titin Eka Ardiana 1) , Ika Farida Ulfah 2) 1","type":"article-journal","volume":"05"},"uris":["http://www.mendeley.com/documents/?uuid=a596fe02-73b9-4dba-a279-3ed06d11e10f"]}],"mendeley":{"formattedCitation":"(Umkm &amp; Kabupaten, 2023)","manualFormatting":"(Titin &amp; Ika, 2023)","plainTextFormattedCitation":"(Umkm &amp; Kabupaten, 2023)","previouslyFormattedCitation":"(Umkm &amp; Kabupaten, 2023)"},"properties":{"noteIndex":0},"schema":"https://github.com/citation-style-language/schema/raw/master/csl-citation.json"}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(Titin &amp; Ika, 2023)</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Biaya-biaya produk yang digunakan memengaruhi sistem perhitungan HPP sebuah produk. Penentuan harga jual dapat dilakukan dengan menghitung HPP yang sebenarnya terlebih dahulu menggunakan metode </w:t>
      </w:r>
      <w:r>
        <w:rPr>
          <w:rFonts w:eastAsia="Cambria" w:cs="Cambria" w:asciiTheme="majorHAnsi" w:hAnsiTheme="majorHAnsi"/>
          <w:i/>
          <w:iCs/>
          <w:sz w:val="24"/>
          <w:szCs w:val="24"/>
        </w:rPr>
        <w:t>full costing</w:t>
      </w:r>
      <w:r>
        <w:rPr>
          <w:rFonts w:eastAsia="Cambria" w:cs="Cambria" w:asciiTheme="majorHAnsi" w:hAnsiTheme="majorHAnsi"/>
          <w:sz w:val="24"/>
          <w:szCs w:val="24"/>
        </w:rPr>
        <w:t xml:space="preserve"> dan </w:t>
      </w:r>
      <w:r>
        <w:rPr>
          <w:rFonts w:eastAsia="Cambria" w:cs="Cambria" w:asciiTheme="majorHAnsi" w:hAnsiTheme="majorHAnsi"/>
          <w:i/>
          <w:iCs/>
          <w:sz w:val="24"/>
          <w:szCs w:val="24"/>
        </w:rPr>
        <w:t xml:space="preserve">variable costing </w:t>
      </w:r>
      <w:r>
        <w:rPr>
          <w:rFonts w:eastAsia="Cambria" w:cs="Cambria" w:asciiTheme="majorHAnsi" w:hAnsiTheme="majorHAnsi"/>
          <w:i/>
          <w:iCs/>
          <w:sz w:val="24"/>
          <w:szCs w:val="24"/>
        </w:rPr>
        <w:fldChar w:fldCharType="begin" w:fldLock="1"/>
      </w:r>
      <w:r>
        <w:rPr>
          <w:rFonts w:eastAsia="Cambria" w:cs="Cambria" w:asciiTheme="majorHAnsi" w:hAnsiTheme="majorHAnsi"/>
          <w:i/>
          <w:iCs/>
          <w:sz w:val="24"/>
          <w:szCs w:val="24"/>
        </w:rPr>
        <w:instrText xml:space="preserve">ADDIN CSL_CITATION {"citationItems":[{"id":"ITEM-1","itemData":{"author":[{"dropping-particle":"","family":"Pada","given":"Jual","non-dropping-particle":"","parse-names":false,"suffix":""},{"dropping-particle":"","family":"Ud","given":"U K M","non-dropping-particle":"","parse-names":false,"suffix":""},{"dropping-particle":"","family":"Furnitur","given":"Mutiara","non-dropping-particle":"","parse-names":false,"suffix":""},{"dropping-particle":"","family":"Prihanisetyo","given":"Adi","non-dropping-particle":"","parse-names":false,"suffix":""}],"id":"ITEM-1","issue":"1","issued":{"date-parts":[["2021"]]},"page":"81-98","title":"No Title","type":"article-journal","volume":"7"},"uris":["http://www.mendeley.com/documents/?uuid=9d4b1576-0c5b-4d17-afca-ae72fbbbd656"]}],"mendeley":{"formattedCitation":"(Pada et al., 2021)","manualFormatting":"(Yuspyani &amp; Prihanisetyo, 2021)","plainTextFormattedCitation":"(Pada et al., 2021)","previouslyFormattedCitation":"(Pada et al., 2021)"},"properties":{"noteIndex":0},"schema":"https://github.com/citation-style-language/schema/raw/master/csl-citation.json"}</w:instrText>
      </w:r>
      <w:r>
        <w:rPr>
          <w:rFonts w:eastAsia="Cambria" w:cs="Cambria" w:asciiTheme="majorHAnsi" w:hAnsiTheme="majorHAnsi"/>
          <w:i/>
          <w:iCs/>
          <w:sz w:val="24"/>
          <w:szCs w:val="24"/>
        </w:rPr>
        <w:fldChar w:fldCharType="separate"/>
      </w:r>
      <w:r>
        <w:rPr>
          <w:rFonts w:eastAsia="Cambria" w:cs="Cambria" w:asciiTheme="majorHAnsi" w:hAnsiTheme="majorHAnsi"/>
          <w:iCs/>
          <w:sz w:val="24"/>
          <w:szCs w:val="24"/>
        </w:rPr>
        <w:t>(Yuspyani &amp; Prihanisetyo, 2021)</w:t>
      </w:r>
      <w:r>
        <w:rPr>
          <w:rFonts w:eastAsia="Cambria" w:cs="Cambria" w:asciiTheme="majorHAnsi" w:hAnsiTheme="majorHAnsi"/>
          <w:i/>
          <w:iCs/>
          <w:sz w:val="24"/>
          <w:szCs w:val="24"/>
        </w:rPr>
        <w:fldChar w:fldCharType="end"/>
      </w:r>
      <w:r>
        <w:rPr>
          <w:rFonts w:eastAsia="Cambria" w:cs="Cambria" w:asciiTheme="majorHAnsi" w:hAnsiTheme="majorHAnsi"/>
          <w:sz w:val="24"/>
          <w:szCs w:val="24"/>
        </w:rPr>
        <w:t xml:space="preserve">. Menghitung HPP berguna untuk menentukan harga jual, menghitung laba atau rugi kotor perusahaan, serta menganalisis profitabilitas suatu produk atau jasa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Wahyuni","given":"Ika","non-dropping-particle":"","parse-names":false,"suffix":""},{"dropping-particle":"","family":"Lestari","given":"Ayu","non-dropping-particle":"","parse-names":false,"suffix":""},{"dropping-particle":"","family":"Dewi","given":"R Rosiyana","non-dropping-particle":"","parse-names":false,"suffix":""},{"dropping-particle":"","family":"Ariani","given":"Marieta","non-dropping-particle":"","parse-names":false,"suffix":""}],"id":"ITEM-1","issued":{"date-parts":[["2023"]]},"page":"60-68","title":"Pelatihan Perhitungan Harga Pokok Produksi ( HPP ) dan Penyusunan Laporan Laba Rugi Bagi Komunitas UMKM di Provinsi Lampung","type":"article-journal","volume":"06"},"uris":["http://www.mendeley.com/documents/?uuid=652b3ee8-8c63-4c8c-9e80-1bfb1f62bcbe"]}],"mendeley":{"formattedCitation":"(Wahyuni et al., 2023)","plainTextFormattedCitation":"(Wahyuni et al., 2023)","previouslyFormattedCitation":"(Wahyuni et al., 2023)"},"properties":{"noteIndex":0},"schema":"https://github.com/citation-style-language/schema/raw/master/csl-citation.json"}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(Wahyuni et al., 2023)</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HPP juga dijadikan acuan manajemen dalam pengambilan keputusan strategis perusahaan termasuk penentuan break-even point dan target laba </w:t>
      </w:r>
      <w:r>
        <w:rPr>
          <w:rFonts w:eastAsia="Cambria" w:cs="Cambria" w:asciiTheme="majorHAnsi" w:hAnsiTheme="majorHAnsi"/>
          <w:sz w:val="24"/>
          <w:szCs w:val="24"/>
        </w:rPr>
        <w:fldChar w:fldCharType="begin" w:fldLock="1"/>
      </w:r>
      <w:r>
        <w:rPr>
          <w:rFonts w:eastAsia="Cambria" w:cs="Cambria" w:asciiTheme="majorHAnsi" w:hAnsiTheme="majorHAnsi"/>
          <w:sz w:val="24"/>
          <w:szCs w:val="24"/>
        </w:rPr>
        <w:instrText xml:space="preserve">ADDIN CSL_CITATION {"citationItems":[{"id":"ITEM-1","itemData":{"author":[{"dropping-particle":"","family":"Yustitia","given":"Erika","non-dropping-particle":"","parse-names":false,"suffix":""}],"id":"ITEM-1","issue":"1","issued":{"date-parts":[["2022"]]},"title":"Pendampingan Penentuan Harga Pokok Produksi ( HPP ) dan Harga Jual pada UMKM di Desa Sawahkulon","type":"article-journal","volume":"3"},"uris":["http://www.mendeley.com/documents/?uuid=be741a35-b257-40e3-a5ff-77833043ab5a"]}],"mendeley":{"formattedCitation":"(Yustitia, 2022)","plainTextFormattedCitation":"(Yustitia, 2022)","previouslyFormattedCitation":"(Yustitia, 2022)"},"properties":{"noteIndex":0},"schema":"https://github.com/citation-style-language/schema/raw/master/csl-citation.json"}</w:instrText>
      </w:r>
      <w:r>
        <w:rPr>
          <w:rFonts w:eastAsia="Cambria" w:cs="Cambria" w:asciiTheme="majorHAnsi" w:hAnsiTheme="majorHAnsi"/>
          <w:sz w:val="24"/>
          <w:szCs w:val="24"/>
        </w:rPr>
        <w:fldChar w:fldCharType="separate"/>
      </w:r>
      <w:r>
        <w:rPr>
          <w:rFonts w:eastAsia="Cambria" w:cs="Cambria" w:asciiTheme="majorHAnsi" w:hAnsiTheme="majorHAnsi"/>
          <w:sz w:val="24"/>
          <w:szCs w:val="24"/>
        </w:rPr>
        <w:t>(Yustitia, 2022)</w:t>
      </w:r>
      <w:r>
        <w:rPr>
          <w:rFonts w:eastAsia="Cambria" w:cs="Cambria" w:asciiTheme="majorHAnsi" w:hAnsiTheme="majorHAnsi"/>
          <w:sz w:val="24"/>
          <w:szCs w:val="24"/>
        </w:rPr>
        <w:fldChar w:fldCharType="end"/>
      </w:r>
      <w:r>
        <w:rPr>
          <w:rFonts w:eastAsia="Cambria" w:cs="Cambria" w:asciiTheme="majorHAnsi" w:hAnsiTheme="majorHAnsi"/>
          <w:sz w:val="24"/>
          <w:szCs w:val="24"/>
        </w:rPr>
        <w:t xml:space="preserve">. Tahapan perhitungan HPP dengan metode Full Costing dalam kegiatan ini meliputi: </w:t>
      </w:r>
    </w:p>
    <w:p w14:paraId="62BF7DE7">
      <w:pPr>
        <w:pStyle w:val="22"/>
        <w:numPr>
          <w:ilvl w:val="0"/>
          <w:numId w:val="1"/>
        </w:numPr>
        <w:pBdr>
          <w:top w:val="none" w:color="auto" w:sz="0" w:space="0"/>
          <w:left w:val="none" w:color="auto" w:sz="0" w:space="0"/>
          <w:bottom w:val="none" w:color="auto" w:sz="0" w:space="0"/>
          <w:right w:val="none" w:color="auto" w:sz="0" w:space="0"/>
          <w:between w:val="none" w:color="auto" w:sz="0" w:space="0"/>
        </w:pBdr>
        <w:rPr>
          <w:rFonts w:eastAsia="Cambria" w:cs="Cambria" w:asciiTheme="majorHAnsi" w:hAnsiTheme="majorHAnsi"/>
          <w:sz w:val="24"/>
          <w:szCs w:val="24"/>
        </w:rPr>
      </w:pPr>
      <w:r>
        <w:rPr>
          <w:rFonts w:eastAsia="Cambria" w:cs="Cambria" w:asciiTheme="majorHAnsi" w:hAnsiTheme="majorHAnsi"/>
          <w:sz w:val="24"/>
          <w:szCs w:val="24"/>
        </w:rPr>
        <w:t>identifikasi dan pencatatan seluruh komponen biaya produksi</w:t>
      </w:r>
    </w:p>
    <w:p w14:paraId="26664BF0">
      <w:pPr>
        <w:pStyle w:val="22"/>
        <w:numPr>
          <w:ilvl w:val="0"/>
          <w:numId w:val="1"/>
        </w:numPr>
        <w:pBdr>
          <w:top w:val="none" w:color="auto" w:sz="0" w:space="0"/>
          <w:left w:val="none" w:color="auto" w:sz="0" w:space="0"/>
          <w:bottom w:val="none" w:color="auto" w:sz="0" w:space="0"/>
          <w:right w:val="none" w:color="auto" w:sz="0" w:space="0"/>
          <w:between w:val="none" w:color="auto" w:sz="0" w:space="0"/>
        </w:pBdr>
        <w:rPr>
          <w:rFonts w:eastAsia="Cambria" w:cs="Cambria" w:asciiTheme="majorHAnsi" w:hAnsiTheme="majorHAnsi"/>
          <w:sz w:val="24"/>
          <w:szCs w:val="24"/>
        </w:rPr>
      </w:pPr>
      <w:r>
        <w:rPr>
          <w:rFonts w:eastAsia="Cambria" w:cs="Cambria" w:asciiTheme="majorHAnsi" w:hAnsiTheme="majorHAnsi"/>
          <w:sz w:val="24"/>
          <w:szCs w:val="24"/>
        </w:rPr>
        <w:t>pengelompokan biaya ke dalam biaya bahan baku dan biaya overhead pabrik</w:t>
      </w:r>
    </w:p>
    <w:p w14:paraId="25F54B78">
      <w:pPr>
        <w:pStyle w:val="22"/>
        <w:numPr>
          <w:ilvl w:val="0"/>
          <w:numId w:val="1"/>
        </w:numPr>
        <w:pBdr>
          <w:top w:val="none" w:color="auto" w:sz="0" w:space="0"/>
          <w:left w:val="none" w:color="auto" w:sz="0" w:space="0"/>
          <w:bottom w:val="none" w:color="auto" w:sz="0" w:space="0"/>
          <w:right w:val="none" w:color="auto" w:sz="0" w:space="0"/>
          <w:between w:val="none" w:color="auto" w:sz="0" w:space="0"/>
        </w:pBdr>
        <w:rPr>
          <w:rFonts w:eastAsia="Cambria" w:cs="Cambria" w:asciiTheme="majorHAnsi" w:hAnsiTheme="majorHAnsi"/>
          <w:sz w:val="24"/>
          <w:szCs w:val="24"/>
        </w:rPr>
      </w:pPr>
      <w:r>
        <w:rPr>
          <w:rFonts w:eastAsia="Cambria" w:cs="Cambria" w:asciiTheme="majorHAnsi" w:hAnsiTheme="majorHAnsi"/>
          <w:sz w:val="24"/>
          <w:szCs w:val="24"/>
        </w:rPr>
        <w:t>penjumlahan total biaya produksi</w:t>
      </w:r>
    </w:p>
    <w:p w14:paraId="4D7ED71F">
      <w:pPr>
        <w:pStyle w:val="22"/>
        <w:numPr>
          <w:ilvl w:val="0"/>
          <w:numId w:val="1"/>
        </w:numPr>
        <w:pBdr>
          <w:top w:val="none" w:color="auto" w:sz="0" w:space="0"/>
          <w:left w:val="none" w:color="auto" w:sz="0" w:space="0"/>
          <w:bottom w:val="none" w:color="auto" w:sz="0" w:space="0"/>
          <w:right w:val="none" w:color="auto" w:sz="0" w:space="0"/>
          <w:between w:val="none" w:color="auto" w:sz="0" w:space="0"/>
        </w:pBdr>
        <w:rPr>
          <w:rFonts w:eastAsia="Cambria" w:cs="Cambria" w:asciiTheme="majorHAnsi" w:hAnsiTheme="majorHAnsi"/>
          <w:sz w:val="24"/>
          <w:szCs w:val="24"/>
        </w:rPr>
      </w:pPr>
      <w:r>
        <w:rPr>
          <w:rFonts w:eastAsia="Cambria" w:cs="Cambria" w:asciiTheme="majorHAnsi" w:hAnsiTheme="majorHAnsi"/>
          <w:sz w:val="24"/>
          <w:szCs w:val="24"/>
        </w:rPr>
        <w:t>pembagian total biaya dengan jumlah unit yang diproduksi.</w:t>
      </w:r>
    </w:p>
    <w:p w14:paraId="3EABD982">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Alur kegiatan pengabdian ini terdiri dari lima tahap yang dilaksanakan secara berurutan. Pertama, dilakukan survei awal dan observasi lapangan untuk memahami kondisi operasional kedua UMKM. Kedua, dilaksanakan wawancara dengan pemilik usaha untuk mengetahui informasi mengenai proses produksi dan pencatatan biaya yang selama ini dilakukan. Ketiga, dilakukan identifikasi dan pencatatan seluruh komponen biaya produksi harian, mencakup biaya bahan baku, biaya tenaga kerja, dan biaya overhead pabrik. Keempat, dilaksanakan pendampingan perhitungan HPP menggunakan metode </w:t>
      </w:r>
      <w:r>
        <w:rPr>
          <w:rFonts w:eastAsia="Cambria" w:cs="Cambria" w:asciiTheme="majorHAnsi" w:hAnsiTheme="majorHAnsi"/>
          <w:i/>
          <w:iCs/>
          <w:sz w:val="24"/>
          <w:szCs w:val="24"/>
        </w:rPr>
        <w:t>Full Costing</w:t>
      </w:r>
      <w:r>
        <w:rPr>
          <w:rFonts w:eastAsia="Cambria" w:cs="Cambria" w:asciiTheme="majorHAnsi" w:hAnsiTheme="majorHAnsi"/>
          <w:sz w:val="24"/>
          <w:szCs w:val="24"/>
        </w:rPr>
        <w:t>. Kelima, dilakukan analisis perbandingan antara harga jual yang selama ini diterapkan dengan harga jual yang seharusnya berdasarkan hasil perhitungan HPP, serta penyampaian rekomendasi penetapan harga kepada pemilik UMKM.</w:t>
      </w:r>
    </w:p>
    <w:p w14:paraId="2427F55E">
      <w:pPr>
        <w:pBdr>
          <w:top w:val="none" w:color="auto" w:sz="0" w:space="0"/>
          <w:left w:val="none" w:color="auto" w:sz="0" w:space="0"/>
          <w:bottom w:val="none" w:color="auto" w:sz="0" w:space="0"/>
          <w:right w:val="none" w:color="auto" w:sz="0" w:space="0"/>
          <w:between w:val="none" w:color="auto" w:sz="0" w:space="0"/>
        </w:pBdr>
        <w:ind w:right="155" w:firstLine="720"/>
        <w:jc w:val="both"/>
        <w:rPr>
          <w:rFonts w:eastAsia="Cambria" w:cs="Cambria" w:asciiTheme="majorHAnsi" w:hAnsiTheme="majorHAnsi"/>
          <w:color w:val="000000"/>
          <w:sz w:val="24"/>
          <w:szCs w:val="24"/>
        </w:rPr>
      </w:pPr>
    </w:p>
    <w:p w14:paraId="2BFCCE26">
      <w:pPr>
        <w:pStyle w:val="3"/>
        <w:spacing w:line="240" w:lineRule="auto"/>
        <w:ind w:left="0"/>
        <w:rPr>
          <w:rFonts w:eastAsia="Cambria" w:cs="Cambria" w:asciiTheme="majorHAnsi" w:hAnsiTheme="majorHAnsi"/>
          <w:b w:val="0"/>
          <w:bCs w:val="0"/>
          <w:color w:val="FF0000"/>
        </w:rPr>
      </w:pPr>
      <w:r>
        <w:rPr>
          <w:rFonts w:eastAsia="Cambria" w:cs="Cambria" w:asciiTheme="majorHAnsi" w:hAnsiTheme="majorHAnsi"/>
        </w:rPr>
        <w:t xml:space="preserve">HASIL KEGIATAN DAN PEMBAHASAN  </w:t>
      </w:r>
    </w:p>
    <w:p w14:paraId="2CB0FE6D">
      <w:pPr>
        <w:widowControl/>
        <w:ind w:right="6"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Kegiatan pengabdian kepada masyarakat ini dijalankan pada dua pelaku UMKM, yaitu UMKM Cilor Maklor dan UMKM Bakso Keriting, yang keduanya beroperasi di kawasan Sedayu, Yogyakarta. Pelaksanaannya mencakup pengamatan langsung di lapangan, diskusi dengan pemilik usaha, pendataan pengeluaran produksi, serta bimbingan dalam menghitung harga pokok produksi (HPP) dengan mendekatan </w:t>
      </w:r>
      <w:r>
        <w:rPr>
          <w:rFonts w:eastAsia="Cambria" w:cs="Cambria" w:asciiTheme="majorHAnsi" w:hAnsiTheme="majorHAnsi"/>
          <w:i/>
          <w:iCs/>
          <w:sz w:val="24"/>
          <w:szCs w:val="24"/>
        </w:rPr>
        <w:t>Full Costing</w:t>
      </w:r>
      <w:r>
        <w:rPr>
          <w:rFonts w:eastAsia="Cambria" w:cs="Cambria" w:asciiTheme="majorHAnsi" w:hAnsiTheme="majorHAnsi"/>
          <w:sz w:val="24"/>
          <w:szCs w:val="24"/>
        </w:rPr>
        <w:t>. Kegiatan ini bertujuan untuk memberikan pemahaman kepada para pelaku UMKM mengenai betapa pentingnya penghitungan biaya produksi yang akurat sebagai dasar dalam menetapkan harga jual.</w:t>
      </w:r>
    </w:p>
    <w:p w14:paraId="0418F054">
      <w:pPr>
        <w:widowControl/>
        <w:ind w:right="6" w:firstLine="720"/>
        <w:jc w:val="both"/>
        <w:rPr>
          <w:rFonts w:eastAsia="Cambria" w:cs="Cambria" w:asciiTheme="majorHAnsi" w:hAnsiTheme="majorHAnsi"/>
          <w:sz w:val="24"/>
          <w:szCs w:val="24"/>
        </w:rPr>
      </w:pPr>
      <w:r>
        <w:rPr>
          <w:rFonts w:eastAsia="Cambria" w:cs="Cambria" w:asciiTheme="majorHAnsi" w:hAnsiTheme="majorHAnsi"/>
          <w:sz w:val="24"/>
          <w:szCs w:val="24"/>
        </w:rPr>
        <w:t xml:space="preserve">Sebelum kegiatan ini berjalan, kedua pemilik UMKM tersebut menentukan harga jual tidak dengan menghitung seluruh komponen biaya operasional, dan tanpa disertai dengan pencatatan biaya produksi yang terstruktur. Akibatnya, mereka mengetahui keuntungan yang sebenarnya mereka dapatkan setiap harinya. Setelah mendapatkan pendampingan, para pelaku usaha mulai menyadari bahwa semua elemen biaya produksi, mulai dari bahan baku hingga biaya overhead, perlu dimasukkan dalam perhitungan harga jual agar kelangsungan usaha dapat terjaga dalam jangka waktu yang panjang. Keberhasilan kegiatan ini tergambar dari kemampuan pelaku usaha dalam mengenali setiap komponen biaya produksi serta memahami alur penghitungan HPP yang siap dijadikan acuan dalam menetapkan harga jual. </w:t>
      </w:r>
    </w:p>
    <w:p w14:paraId="32E39657">
      <w:pPr>
        <w:ind w:right="411"/>
        <w:jc w:val="both"/>
        <w:rPr>
          <w:rFonts w:eastAsia="Cambria" w:cs="Cambria" w:asciiTheme="majorHAnsi" w:hAnsiTheme="majorHAnsi"/>
          <w:sz w:val="24"/>
          <w:szCs w:val="24"/>
        </w:rPr>
      </w:pPr>
    </w:p>
    <w:p w14:paraId="3091D97C">
      <w:pPr>
        <w:ind w:right="411"/>
        <w:jc w:val="both"/>
        <w:rPr>
          <w:rFonts w:eastAsia="Cambria" w:cs="Cambria" w:asciiTheme="majorHAnsi" w:hAnsiTheme="majorHAnsi"/>
          <w:b/>
          <w:bCs/>
          <w:sz w:val="24"/>
          <w:szCs w:val="24"/>
        </w:rPr>
      </w:pPr>
      <w:r>
        <w:rPr>
          <w:rFonts w:eastAsia="Cambria" w:cs="Cambria" w:asciiTheme="majorHAnsi" w:hAnsiTheme="majorHAnsi"/>
          <w:b/>
          <w:bCs/>
          <w:sz w:val="24"/>
          <w:szCs w:val="24"/>
        </w:rPr>
        <w:t>Perhitungan HPP UMKM Cilor Maklor</w:t>
      </w:r>
    </w:p>
    <w:p w14:paraId="3014EBEB">
      <w:pPr>
        <w:ind w:right="411" w:firstLine="720"/>
        <w:jc w:val="both"/>
        <w:rPr>
          <w:rFonts w:eastAsia="Cambria" w:cs="Cambria" w:asciiTheme="majorHAnsi" w:hAnsiTheme="majorHAnsi"/>
          <w:sz w:val="24"/>
          <w:szCs w:val="24"/>
        </w:rPr>
      </w:pPr>
      <w:r>
        <w:rPr>
          <w:rFonts w:eastAsia="Cambria" w:cs="Cambria" w:asciiTheme="majorHAnsi" w:hAnsiTheme="majorHAnsi"/>
          <w:sz w:val="24"/>
          <w:szCs w:val="24"/>
        </w:rPr>
        <w:t>Berdasarkan hasil observasi dan pencatatan data biaya produksi harian, diperoleh rincian biaya produksi UMKM Cilor Maklor sebagai berikut:</w:t>
      </w:r>
    </w:p>
    <w:p w14:paraId="2DAB638C">
      <w:pPr>
        <w:shd w:val="clear" w:color="auto" w:fill="FFFFFF"/>
        <w:jc w:val="center"/>
        <w:rPr>
          <w:rFonts w:eastAsia="Cambria" w:cs="Cambria" w:asciiTheme="majorHAnsi" w:hAnsiTheme="majorHAnsi"/>
          <w:b/>
          <w:bCs/>
          <w:sz w:val="24"/>
          <w:szCs w:val="24"/>
        </w:rPr>
      </w:pPr>
      <w:r>
        <w:rPr>
          <w:rFonts w:eastAsia="Cambria" w:cs="Cambria" w:asciiTheme="majorHAnsi" w:hAnsiTheme="majorHAnsi"/>
          <w:b/>
          <w:bCs/>
          <w:sz w:val="24"/>
          <w:szCs w:val="24"/>
        </w:rPr>
        <w:t>Tabel 1</w:t>
      </w:r>
    </w:p>
    <w:p w14:paraId="3D159DC0">
      <w:pPr>
        <w:shd w:val="clear" w:color="auto" w:fill="FFFFFF"/>
        <w:jc w:val="center"/>
        <w:rPr>
          <w:rFonts w:eastAsia="Cambria" w:cs="Cambria" w:asciiTheme="majorHAnsi" w:hAnsiTheme="majorHAnsi"/>
          <w:b/>
          <w:bCs/>
          <w:sz w:val="24"/>
          <w:szCs w:val="24"/>
        </w:rPr>
      </w:pPr>
      <w:r>
        <w:rPr>
          <w:rFonts w:eastAsia="Cambria" w:cs="Cambria" w:asciiTheme="majorHAnsi" w:hAnsiTheme="majorHAnsi"/>
          <w:b/>
          <w:bCs/>
          <w:sz w:val="24"/>
          <w:szCs w:val="24"/>
        </w:rPr>
        <w:t>Rincian Biaya Produksi UMKM Cilor Maklor</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2555"/>
        <w:gridCol w:w="2694"/>
        <w:gridCol w:w="1885"/>
      </w:tblGrid>
      <w:tr w14:paraId="29C5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927" w:type="dxa"/>
          </w:tcPr>
          <w:p w14:paraId="112DC6DA">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No</w:t>
            </w:r>
          </w:p>
        </w:tc>
        <w:tc>
          <w:tcPr>
            <w:tcW w:w="2555" w:type="dxa"/>
          </w:tcPr>
          <w:p w14:paraId="24325E82">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Unsur Biaya</w:t>
            </w:r>
          </w:p>
        </w:tc>
        <w:tc>
          <w:tcPr>
            <w:tcW w:w="2694" w:type="dxa"/>
          </w:tcPr>
          <w:p w14:paraId="3B605561">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Komponen</w:t>
            </w:r>
          </w:p>
        </w:tc>
        <w:tc>
          <w:tcPr>
            <w:tcW w:w="1885" w:type="dxa"/>
          </w:tcPr>
          <w:p w14:paraId="79B82DE5">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Jumlah (Rp)</w:t>
            </w:r>
          </w:p>
        </w:tc>
      </w:tr>
      <w:tr w14:paraId="51C9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27" w:type="dxa"/>
          </w:tcPr>
          <w:p w14:paraId="1F465518">
            <w:pPr>
              <w:ind w:right="411"/>
              <w:jc w:val="center"/>
              <w:rPr>
                <w:rFonts w:eastAsia="Cambria" w:cs="Cambria" w:asciiTheme="majorHAnsi" w:hAnsiTheme="majorHAnsi"/>
                <w:sz w:val="24"/>
                <w:szCs w:val="24"/>
              </w:rPr>
            </w:pPr>
            <w:r>
              <w:rPr>
                <w:rFonts w:eastAsia="Cambria" w:cs="Cambria" w:asciiTheme="majorHAnsi" w:hAnsiTheme="majorHAnsi"/>
                <w:sz w:val="24"/>
                <w:szCs w:val="24"/>
              </w:rPr>
              <w:t>1</w:t>
            </w:r>
          </w:p>
        </w:tc>
        <w:tc>
          <w:tcPr>
            <w:tcW w:w="2555" w:type="dxa"/>
          </w:tcPr>
          <w:p w14:paraId="683B33B6">
            <w:pPr>
              <w:ind w:right="411"/>
              <w:jc w:val="both"/>
              <w:rPr>
                <w:rFonts w:eastAsia="Cambria" w:cs="Cambria" w:asciiTheme="majorHAnsi" w:hAnsiTheme="majorHAnsi"/>
                <w:sz w:val="24"/>
                <w:szCs w:val="24"/>
              </w:rPr>
            </w:pPr>
            <w:r>
              <w:rPr>
                <w:rFonts w:eastAsia="Cambria" w:cs="Cambria" w:asciiTheme="majorHAnsi" w:hAnsiTheme="majorHAnsi"/>
                <w:sz w:val="24"/>
                <w:szCs w:val="24"/>
              </w:rPr>
              <w:t>Biaya Bahan Baku</w:t>
            </w:r>
          </w:p>
        </w:tc>
        <w:tc>
          <w:tcPr>
            <w:tcW w:w="2694" w:type="dxa"/>
          </w:tcPr>
          <w:p w14:paraId="423BBD96">
            <w:pPr>
              <w:ind w:right="411"/>
              <w:jc w:val="center"/>
              <w:rPr>
                <w:rFonts w:eastAsia="Cambria" w:cs="Cambria" w:asciiTheme="majorHAnsi" w:hAnsiTheme="majorHAnsi"/>
                <w:sz w:val="24"/>
                <w:szCs w:val="24"/>
              </w:rPr>
            </w:pPr>
            <w:r>
              <w:rPr>
                <w:rFonts w:eastAsia="Cambria" w:cs="Cambria" w:asciiTheme="majorHAnsi" w:hAnsiTheme="majorHAnsi"/>
                <w:sz w:val="24"/>
                <w:szCs w:val="24"/>
              </w:rPr>
              <w:t>Kanji, Terigu, Makaroni, Telur, Minyak, Bumbu</w:t>
            </w:r>
          </w:p>
        </w:tc>
        <w:tc>
          <w:tcPr>
            <w:tcW w:w="1885" w:type="dxa"/>
          </w:tcPr>
          <w:p w14:paraId="08E4EF9F">
            <w:pPr>
              <w:ind w:right="411"/>
              <w:jc w:val="center"/>
              <w:rPr>
                <w:rFonts w:eastAsia="Cambria" w:cs="Cambria" w:asciiTheme="majorHAnsi" w:hAnsiTheme="majorHAnsi"/>
                <w:sz w:val="24"/>
                <w:szCs w:val="24"/>
              </w:rPr>
            </w:pPr>
            <w:r>
              <w:rPr>
                <w:rFonts w:eastAsia="Cambria" w:cs="Cambria" w:asciiTheme="majorHAnsi" w:hAnsiTheme="majorHAnsi"/>
                <w:sz w:val="24"/>
                <w:szCs w:val="24"/>
              </w:rPr>
              <w:t>132.000</w:t>
            </w:r>
          </w:p>
        </w:tc>
      </w:tr>
      <w:tr w14:paraId="7558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27" w:type="dxa"/>
          </w:tcPr>
          <w:p w14:paraId="37BC839F">
            <w:pPr>
              <w:ind w:right="411"/>
              <w:jc w:val="center"/>
              <w:rPr>
                <w:rFonts w:eastAsia="Cambria" w:cs="Cambria" w:asciiTheme="majorHAnsi" w:hAnsiTheme="majorHAnsi"/>
                <w:sz w:val="24"/>
                <w:szCs w:val="24"/>
              </w:rPr>
            </w:pPr>
            <w:r>
              <w:rPr>
                <w:rFonts w:eastAsia="Cambria" w:cs="Cambria" w:asciiTheme="majorHAnsi" w:hAnsiTheme="majorHAnsi"/>
                <w:sz w:val="24"/>
                <w:szCs w:val="24"/>
              </w:rPr>
              <w:t>2</w:t>
            </w:r>
          </w:p>
        </w:tc>
        <w:tc>
          <w:tcPr>
            <w:tcW w:w="2555" w:type="dxa"/>
          </w:tcPr>
          <w:p w14:paraId="56124127">
            <w:pPr>
              <w:ind w:right="411"/>
              <w:jc w:val="both"/>
              <w:rPr>
                <w:rFonts w:eastAsia="Cambria" w:cs="Cambria" w:asciiTheme="majorHAnsi" w:hAnsiTheme="majorHAnsi"/>
                <w:sz w:val="24"/>
                <w:szCs w:val="24"/>
              </w:rPr>
            </w:pPr>
            <w:r>
              <w:rPr>
                <w:rFonts w:eastAsia="Cambria" w:cs="Cambria" w:asciiTheme="majorHAnsi" w:hAnsiTheme="majorHAnsi"/>
                <w:sz w:val="24"/>
                <w:szCs w:val="24"/>
              </w:rPr>
              <w:t>Biaya Overhead Pabrik</w:t>
            </w:r>
          </w:p>
        </w:tc>
        <w:tc>
          <w:tcPr>
            <w:tcW w:w="2694" w:type="dxa"/>
          </w:tcPr>
          <w:p w14:paraId="155A5F92">
            <w:pPr>
              <w:ind w:right="411"/>
              <w:jc w:val="center"/>
              <w:rPr>
                <w:rFonts w:eastAsia="Cambria" w:cs="Cambria" w:asciiTheme="majorHAnsi" w:hAnsiTheme="majorHAnsi"/>
                <w:sz w:val="24"/>
                <w:szCs w:val="24"/>
              </w:rPr>
            </w:pPr>
            <w:r>
              <w:rPr>
                <w:rFonts w:eastAsia="Cambria" w:cs="Cambria" w:asciiTheme="majorHAnsi" w:hAnsiTheme="majorHAnsi"/>
                <w:sz w:val="24"/>
                <w:szCs w:val="24"/>
              </w:rPr>
              <w:t>Gas, Plastik, Kresek, Tusuk, Sewa, Bensin</w:t>
            </w:r>
          </w:p>
        </w:tc>
        <w:tc>
          <w:tcPr>
            <w:tcW w:w="1885" w:type="dxa"/>
          </w:tcPr>
          <w:p w14:paraId="471114D1">
            <w:pPr>
              <w:ind w:right="411"/>
              <w:jc w:val="center"/>
              <w:rPr>
                <w:rFonts w:eastAsia="Cambria" w:cs="Cambria" w:asciiTheme="majorHAnsi" w:hAnsiTheme="majorHAnsi"/>
                <w:sz w:val="24"/>
                <w:szCs w:val="24"/>
              </w:rPr>
            </w:pPr>
            <w:r>
              <w:rPr>
                <w:rFonts w:eastAsia="Cambria" w:cs="Cambria" w:asciiTheme="majorHAnsi" w:hAnsiTheme="majorHAnsi"/>
                <w:sz w:val="24"/>
                <w:szCs w:val="24"/>
              </w:rPr>
              <w:t>27.500</w:t>
            </w:r>
          </w:p>
        </w:tc>
      </w:tr>
      <w:tr w14:paraId="1B8E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927" w:type="dxa"/>
          </w:tcPr>
          <w:p w14:paraId="5E319373">
            <w:pPr>
              <w:ind w:right="411"/>
              <w:jc w:val="center"/>
              <w:rPr>
                <w:rFonts w:eastAsia="Cambria" w:cs="Cambria" w:asciiTheme="majorHAnsi" w:hAnsiTheme="majorHAnsi"/>
                <w:b/>
                <w:bCs/>
                <w:sz w:val="24"/>
                <w:szCs w:val="24"/>
              </w:rPr>
            </w:pPr>
          </w:p>
        </w:tc>
        <w:tc>
          <w:tcPr>
            <w:tcW w:w="2555" w:type="dxa"/>
          </w:tcPr>
          <w:p w14:paraId="2EF289F4">
            <w:pPr>
              <w:ind w:right="411"/>
              <w:jc w:val="both"/>
              <w:rPr>
                <w:rFonts w:eastAsia="Cambria" w:cs="Cambria" w:asciiTheme="majorHAnsi" w:hAnsiTheme="majorHAnsi"/>
                <w:b/>
                <w:bCs/>
                <w:sz w:val="24"/>
                <w:szCs w:val="24"/>
              </w:rPr>
            </w:pPr>
            <w:r>
              <w:rPr>
                <w:rFonts w:eastAsia="Cambria" w:cs="Cambria" w:asciiTheme="majorHAnsi" w:hAnsiTheme="majorHAnsi"/>
                <w:b/>
                <w:bCs/>
                <w:sz w:val="24"/>
                <w:szCs w:val="24"/>
              </w:rPr>
              <w:t>Total Biaya Produksi</w:t>
            </w:r>
          </w:p>
        </w:tc>
        <w:tc>
          <w:tcPr>
            <w:tcW w:w="2694" w:type="dxa"/>
          </w:tcPr>
          <w:p w14:paraId="29A3340D">
            <w:pPr>
              <w:ind w:right="411"/>
              <w:jc w:val="center"/>
              <w:rPr>
                <w:rFonts w:eastAsia="Cambria" w:cs="Cambria" w:asciiTheme="majorHAnsi" w:hAnsiTheme="majorHAnsi"/>
                <w:b/>
                <w:bCs/>
                <w:sz w:val="24"/>
                <w:szCs w:val="24"/>
              </w:rPr>
            </w:pPr>
          </w:p>
        </w:tc>
        <w:tc>
          <w:tcPr>
            <w:tcW w:w="1885" w:type="dxa"/>
          </w:tcPr>
          <w:p w14:paraId="7510AB77">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159.500</w:t>
            </w:r>
          </w:p>
        </w:tc>
      </w:tr>
    </w:tbl>
    <w:p w14:paraId="1C7D4151">
      <w:pPr>
        <w:ind w:right="411"/>
        <w:jc w:val="both"/>
        <w:rPr>
          <w:rFonts w:eastAsia="Cambria" w:cs="Cambria" w:asciiTheme="majorHAnsi" w:hAnsiTheme="majorHAnsi"/>
          <w:b/>
          <w:bCs/>
          <w:sz w:val="24"/>
          <w:szCs w:val="24"/>
        </w:rPr>
      </w:pPr>
    </w:p>
    <w:p w14:paraId="50440DEE">
      <w:pPr>
        <w:ind w:right="411"/>
        <w:jc w:val="both"/>
        <w:rPr>
          <w:rFonts w:eastAsia="Cambria" w:cs="Cambria" w:asciiTheme="majorHAnsi" w:hAnsiTheme="majorHAnsi"/>
          <w:sz w:val="24"/>
          <w:szCs w:val="24"/>
        </w:rPr>
      </w:pPr>
      <w:r>
        <w:rPr>
          <w:rFonts w:eastAsia="Cambria" w:cs="Cambria" w:asciiTheme="majorHAnsi" w:hAnsiTheme="majorHAnsi"/>
          <w:b/>
          <w:bCs/>
          <w:sz w:val="24"/>
          <w:szCs w:val="24"/>
        </w:rPr>
        <w:tab/>
      </w:r>
      <w:r>
        <w:rPr>
          <w:rFonts w:eastAsia="Cambria" w:cs="Cambria" w:asciiTheme="majorHAnsi" w:hAnsiTheme="majorHAnsi"/>
          <w:sz w:val="24"/>
          <w:szCs w:val="24"/>
        </w:rPr>
        <w:t>Jumlah produksi per hari adalah sebanyak 340 porsi, maka perhitungan Harga Pokok Produksi (HPP) per porsi adalah sebagai berikut:</w:t>
      </w:r>
    </w:p>
    <w:p w14:paraId="38A6688F">
      <w:pPr>
        <w:ind w:right="411"/>
        <w:jc w:val="both"/>
        <w:rPr>
          <w:rFonts w:eastAsia="Cambria" w:cs="Cambria" w:asciiTheme="majorHAnsi" w:hAnsiTheme="majorHAnsi"/>
          <w:sz w:val="24"/>
          <w:szCs w:val="24"/>
        </w:rPr>
      </w:pPr>
    </w:p>
    <w:p w14:paraId="78E39DB6">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HPP = 159.500 / 340 = Rp 469 per porsi</w:t>
      </w:r>
    </w:p>
    <w:p w14:paraId="151D72F7">
      <w:pPr>
        <w:ind w:right="411"/>
        <w:jc w:val="both"/>
        <w:rPr>
          <w:rFonts w:eastAsia="Cambria" w:cs="Cambria" w:asciiTheme="majorHAnsi" w:hAnsiTheme="majorHAnsi"/>
          <w:b/>
          <w:bCs/>
          <w:sz w:val="24"/>
          <w:szCs w:val="24"/>
        </w:rPr>
      </w:pPr>
    </w:p>
    <w:p w14:paraId="4451B642">
      <w:pPr>
        <w:ind w:right="411" w:firstLine="720"/>
        <w:jc w:val="both"/>
        <w:rPr>
          <w:rFonts w:eastAsia="Cambria" w:cs="Cambria" w:asciiTheme="majorHAnsi" w:hAnsiTheme="majorHAnsi"/>
          <w:sz w:val="24"/>
          <w:szCs w:val="24"/>
        </w:rPr>
      </w:pPr>
      <w:r>
        <w:rPr>
          <w:rFonts w:eastAsia="Cambria" w:cs="Cambria" w:asciiTheme="majorHAnsi" w:hAnsiTheme="majorHAnsi"/>
          <w:sz w:val="24"/>
          <w:szCs w:val="24"/>
        </w:rPr>
        <w:t>Berdasarkan hasil perhitungan tersebut, diperoleh HPP sebesar Rp 469 per porsi. Hasil ini menunjukkan bahwa setiap porsi cilor maklor memerlukan biaya produksi sebesar Rp 469 sebelum ditambahkan laba usaha. Dengan harga jual aktual sebesar Rp 1.000 per porsi, maka laba kotor per porsi adalah Rp 531 atau setara dengan margin laba kotor sebesar 53,1%. Dengan mengetahui nilai HPP secara tepat, pelaku usaha dapat menentukan harga jual yang lebih akurat sehingga keuntungan yang diperoleh dapat diketahui dan direncanakan secara jelas.</w:t>
      </w:r>
    </w:p>
    <w:p w14:paraId="7CFD0C2B">
      <w:pPr>
        <w:ind w:right="411"/>
        <w:jc w:val="center"/>
        <w:rPr>
          <w:rFonts w:eastAsia="Cambria" w:cs="Cambria" w:asciiTheme="majorHAnsi" w:hAnsiTheme="majorHAnsi"/>
          <w:b/>
          <w:bCs/>
          <w:sz w:val="24"/>
          <w:szCs w:val="24"/>
        </w:rPr>
      </w:pPr>
    </w:p>
    <w:p w14:paraId="12C8C463">
      <w:pPr>
        <w:ind w:right="411"/>
        <w:jc w:val="center"/>
        <w:rPr>
          <w:rFonts w:eastAsia="Cambria" w:cs="Cambria" w:asciiTheme="majorHAnsi" w:hAnsiTheme="majorHAnsi"/>
          <w:sz w:val="24"/>
          <w:szCs w:val="24"/>
        </w:rPr>
      </w:pPr>
      <w:r>
        <w:rPr>
          <w:rFonts w:eastAsia="Cambria" w:cs="Cambria" w:asciiTheme="majorHAnsi" w:hAnsiTheme="majorHAnsi"/>
          <w:sz w:val="24"/>
          <w:szCs w:val="24"/>
        </w:rPr>
        <w:drawing>
          <wp:inline distT="0" distB="0" distL="0" distR="0">
            <wp:extent cx="3728085" cy="2757170"/>
            <wp:effectExtent l="0" t="0" r="5715" b="5080"/>
            <wp:docPr id="177629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92317"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44208" cy="2757170"/>
                    </a:xfrm>
                    <a:prstGeom prst="rect">
                      <a:avLst/>
                    </a:prstGeom>
                  </pic:spPr>
                </pic:pic>
              </a:graphicData>
            </a:graphic>
          </wp:inline>
        </w:drawing>
      </w:r>
    </w:p>
    <w:p w14:paraId="3B22B9B2">
      <w:pPr>
        <w:ind w:right="411"/>
        <w:jc w:val="center"/>
        <w:rPr>
          <w:rFonts w:eastAsia="Cambria" w:cs="Cambria" w:asciiTheme="majorHAnsi" w:hAnsiTheme="majorHAnsi"/>
          <w:sz w:val="24"/>
          <w:szCs w:val="24"/>
        </w:rPr>
      </w:pPr>
      <w:r>
        <w:rPr>
          <w:rFonts w:eastAsia="Cambria" w:cs="Cambria" w:asciiTheme="majorHAnsi" w:hAnsiTheme="majorHAnsi"/>
          <w:sz w:val="24"/>
          <w:szCs w:val="24"/>
        </w:rPr>
        <w:t>Gambar 1. Kedai Cilor</w:t>
      </w:r>
    </w:p>
    <w:p w14:paraId="03B409A3">
      <w:pPr>
        <w:ind w:right="411"/>
        <w:rPr>
          <w:rFonts w:eastAsia="Cambria" w:cs="Cambria" w:asciiTheme="majorHAnsi" w:hAnsiTheme="majorHAnsi"/>
          <w:sz w:val="24"/>
          <w:szCs w:val="24"/>
        </w:rPr>
      </w:pPr>
    </w:p>
    <w:p w14:paraId="0397F229">
      <w:pPr>
        <w:ind w:right="411"/>
        <w:rPr>
          <w:rFonts w:eastAsia="Cambria" w:cs="Cambria" w:asciiTheme="majorHAnsi" w:hAnsiTheme="majorHAnsi"/>
          <w:b/>
          <w:bCs/>
          <w:sz w:val="24"/>
          <w:szCs w:val="24"/>
        </w:rPr>
      </w:pPr>
      <w:r>
        <w:rPr>
          <w:rFonts w:eastAsia="Cambria" w:cs="Cambria" w:asciiTheme="majorHAnsi" w:hAnsiTheme="majorHAnsi"/>
          <w:b/>
          <w:bCs/>
          <w:sz w:val="24"/>
          <w:szCs w:val="24"/>
        </w:rPr>
        <w:t xml:space="preserve">Perhitungan HPP UMKM Bakso Keriting  </w:t>
      </w:r>
    </w:p>
    <w:p w14:paraId="1CA21194">
      <w:pPr>
        <w:ind w:right="411" w:firstLine="720"/>
        <w:jc w:val="both"/>
        <w:rPr>
          <w:rFonts w:eastAsia="Cambria" w:cs="Cambria" w:asciiTheme="majorHAnsi" w:hAnsiTheme="majorHAnsi"/>
          <w:sz w:val="24"/>
          <w:szCs w:val="24"/>
        </w:rPr>
      </w:pPr>
      <w:r>
        <w:rPr>
          <w:rFonts w:eastAsia="Cambria" w:cs="Cambria" w:asciiTheme="majorHAnsi" w:hAnsiTheme="majorHAnsi"/>
          <w:sz w:val="24"/>
          <w:szCs w:val="24"/>
        </w:rPr>
        <w:t>Berdasarkan data biaya produksi harian yang diperoleh selama kegiatan pengamatan, rincian biaya produksi UMKM Bakso Keriting adalah sebagai berikut:</w:t>
      </w:r>
    </w:p>
    <w:p w14:paraId="3E3AB030">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Tabel 2</w:t>
      </w:r>
    </w:p>
    <w:p w14:paraId="78E0D4E5">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 xml:space="preserve">Rincian Biaya Produksi UMKM Bakso Keriting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346"/>
        <w:gridCol w:w="3000"/>
        <w:gridCol w:w="1677"/>
      </w:tblGrid>
      <w:tr w14:paraId="6EB9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57" w:type="dxa"/>
          </w:tcPr>
          <w:p w14:paraId="7D9AC67A">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No</w:t>
            </w:r>
          </w:p>
        </w:tc>
        <w:tc>
          <w:tcPr>
            <w:tcW w:w="2346" w:type="dxa"/>
          </w:tcPr>
          <w:p w14:paraId="35BD3121">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Unsur Biaya</w:t>
            </w:r>
          </w:p>
        </w:tc>
        <w:tc>
          <w:tcPr>
            <w:tcW w:w="3000" w:type="dxa"/>
          </w:tcPr>
          <w:p w14:paraId="36128DBD">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Komponen</w:t>
            </w:r>
          </w:p>
        </w:tc>
        <w:tc>
          <w:tcPr>
            <w:tcW w:w="1677" w:type="dxa"/>
          </w:tcPr>
          <w:p w14:paraId="00D461D5">
            <w:pPr>
              <w:rPr>
                <w:b/>
                <w:bCs/>
              </w:rPr>
            </w:pPr>
            <w:r>
              <w:rPr>
                <w:b/>
                <w:bCs/>
              </w:rPr>
              <w:t>Jumlah (Rp)</w:t>
            </w:r>
          </w:p>
        </w:tc>
      </w:tr>
      <w:tr w14:paraId="7B78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57" w:type="dxa"/>
          </w:tcPr>
          <w:p w14:paraId="6A8D79BB">
            <w:pPr>
              <w:ind w:right="411"/>
              <w:jc w:val="center"/>
              <w:rPr>
                <w:rFonts w:eastAsia="Cambria" w:cs="Cambria" w:asciiTheme="majorHAnsi" w:hAnsiTheme="majorHAnsi"/>
                <w:sz w:val="24"/>
                <w:szCs w:val="24"/>
              </w:rPr>
            </w:pPr>
            <w:r>
              <w:rPr>
                <w:rFonts w:eastAsia="Cambria" w:cs="Cambria" w:asciiTheme="majorHAnsi" w:hAnsiTheme="majorHAnsi"/>
                <w:sz w:val="24"/>
                <w:szCs w:val="24"/>
              </w:rPr>
              <w:t>1</w:t>
            </w:r>
          </w:p>
        </w:tc>
        <w:tc>
          <w:tcPr>
            <w:tcW w:w="2346" w:type="dxa"/>
          </w:tcPr>
          <w:p w14:paraId="5083E8B4">
            <w:pPr>
              <w:ind w:right="411"/>
              <w:jc w:val="center"/>
              <w:rPr>
                <w:rFonts w:eastAsia="Cambria" w:cs="Cambria" w:asciiTheme="majorHAnsi" w:hAnsiTheme="majorHAnsi"/>
                <w:sz w:val="24"/>
                <w:szCs w:val="24"/>
              </w:rPr>
            </w:pPr>
            <w:r>
              <w:rPr>
                <w:rFonts w:eastAsia="Cambria" w:cs="Cambria" w:asciiTheme="majorHAnsi" w:hAnsiTheme="majorHAnsi"/>
                <w:sz w:val="24"/>
                <w:szCs w:val="24"/>
              </w:rPr>
              <w:t>Biaya Bahan Baku</w:t>
            </w:r>
          </w:p>
        </w:tc>
        <w:tc>
          <w:tcPr>
            <w:tcW w:w="3000" w:type="dxa"/>
          </w:tcPr>
          <w:p w14:paraId="6F831F33">
            <w:pPr>
              <w:ind w:right="411"/>
              <w:jc w:val="center"/>
              <w:rPr>
                <w:rFonts w:eastAsia="Cambria" w:cs="Cambria" w:asciiTheme="majorHAnsi" w:hAnsiTheme="majorHAnsi"/>
                <w:sz w:val="24"/>
                <w:szCs w:val="24"/>
              </w:rPr>
            </w:pPr>
            <w:r>
              <w:rPr>
                <w:rFonts w:eastAsia="Cambria" w:cs="Cambria" w:asciiTheme="majorHAnsi" w:hAnsiTheme="majorHAnsi"/>
                <w:sz w:val="24"/>
                <w:szCs w:val="24"/>
              </w:rPr>
              <w:t>Ayam, Terigu, Kanji, Saos, Kecap, Bumbu</w:t>
            </w:r>
          </w:p>
        </w:tc>
        <w:tc>
          <w:tcPr>
            <w:tcW w:w="1677" w:type="dxa"/>
          </w:tcPr>
          <w:p w14:paraId="1450D141">
            <w:r>
              <w:t>32.149</w:t>
            </w:r>
          </w:p>
        </w:tc>
      </w:tr>
      <w:tr w14:paraId="5ED6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957" w:type="dxa"/>
          </w:tcPr>
          <w:p w14:paraId="5573565E">
            <w:pPr>
              <w:ind w:right="411"/>
              <w:jc w:val="center"/>
              <w:rPr>
                <w:rFonts w:eastAsia="Cambria" w:cs="Cambria" w:asciiTheme="majorHAnsi" w:hAnsiTheme="majorHAnsi"/>
                <w:sz w:val="24"/>
                <w:szCs w:val="24"/>
              </w:rPr>
            </w:pPr>
            <w:r>
              <w:rPr>
                <w:rFonts w:eastAsia="Cambria" w:cs="Cambria" w:asciiTheme="majorHAnsi" w:hAnsiTheme="majorHAnsi"/>
                <w:sz w:val="24"/>
                <w:szCs w:val="24"/>
              </w:rPr>
              <w:t>2</w:t>
            </w:r>
          </w:p>
        </w:tc>
        <w:tc>
          <w:tcPr>
            <w:tcW w:w="2346" w:type="dxa"/>
          </w:tcPr>
          <w:p w14:paraId="44C54777">
            <w:pPr>
              <w:ind w:right="411"/>
              <w:jc w:val="center"/>
              <w:rPr>
                <w:rFonts w:eastAsia="Cambria" w:cs="Cambria" w:asciiTheme="majorHAnsi" w:hAnsiTheme="majorHAnsi"/>
                <w:sz w:val="24"/>
                <w:szCs w:val="24"/>
              </w:rPr>
            </w:pPr>
            <w:r>
              <w:rPr>
                <w:rFonts w:eastAsia="Cambria" w:cs="Cambria" w:asciiTheme="majorHAnsi" w:hAnsiTheme="majorHAnsi"/>
                <w:sz w:val="24"/>
                <w:szCs w:val="24"/>
              </w:rPr>
              <w:t>Biaya Overhead Pabrik</w:t>
            </w:r>
          </w:p>
        </w:tc>
        <w:tc>
          <w:tcPr>
            <w:tcW w:w="3000" w:type="dxa"/>
          </w:tcPr>
          <w:p w14:paraId="5F53689C">
            <w:pPr>
              <w:ind w:right="411"/>
              <w:jc w:val="center"/>
              <w:rPr>
                <w:rFonts w:eastAsia="Cambria" w:cs="Cambria" w:asciiTheme="majorHAnsi" w:hAnsiTheme="majorHAnsi"/>
                <w:sz w:val="24"/>
                <w:szCs w:val="24"/>
              </w:rPr>
            </w:pPr>
            <w:r>
              <w:rPr>
                <w:rFonts w:eastAsia="Cambria" w:cs="Cambria" w:asciiTheme="majorHAnsi" w:hAnsiTheme="majorHAnsi"/>
                <w:sz w:val="24"/>
                <w:szCs w:val="24"/>
              </w:rPr>
              <w:t>Tusuk, Plastik, Gas, Sewa, Bensin</w:t>
            </w:r>
          </w:p>
        </w:tc>
        <w:tc>
          <w:tcPr>
            <w:tcW w:w="1677" w:type="dxa"/>
          </w:tcPr>
          <w:p w14:paraId="1DE11459">
            <w:r>
              <w:t>21.547</w:t>
            </w:r>
          </w:p>
        </w:tc>
      </w:tr>
      <w:tr w14:paraId="0833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57" w:type="dxa"/>
          </w:tcPr>
          <w:p w14:paraId="5E8DAEB5">
            <w:pPr>
              <w:ind w:right="411"/>
              <w:jc w:val="center"/>
              <w:rPr>
                <w:rFonts w:eastAsia="Cambria" w:cs="Cambria" w:asciiTheme="majorHAnsi" w:hAnsiTheme="majorHAnsi"/>
                <w:b/>
                <w:bCs/>
                <w:sz w:val="24"/>
                <w:szCs w:val="24"/>
              </w:rPr>
            </w:pPr>
          </w:p>
        </w:tc>
        <w:tc>
          <w:tcPr>
            <w:tcW w:w="2346" w:type="dxa"/>
          </w:tcPr>
          <w:p w14:paraId="7C74306A">
            <w:pPr>
              <w:ind w:right="411"/>
              <w:jc w:val="center"/>
              <w:rPr>
                <w:rFonts w:eastAsia="Cambria" w:cs="Cambria" w:asciiTheme="majorHAnsi" w:hAnsiTheme="majorHAnsi"/>
                <w:b/>
                <w:bCs/>
                <w:sz w:val="24"/>
                <w:szCs w:val="24"/>
              </w:rPr>
            </w:pPr>
            <w:r>
              <w:rPr>
                <w:rFonts w:eastAsia="Cambria" w:cs="Cambria" w:asciiTheme="majorHAnsi" w:hAnsiTheme="majorHAnsi"/>
                <w:b/>
                <w:bCs/>
                <w:sz w:val="24"/>
                <w:szCs w:val="24"/>
              </w:rPr>
              <w:t>Total Biaya Produksi</w:t>
            </w:r>
          </w:p>
        </w:tc>
        <w:tc>
          <w:tcPr>
            <w:tcW w:w="3000" w:type="dxa"/>
          </w:tcPr>
          <w:p w14:paraId="10724A79">
            <w:pPr>
              <w:ind w:right="411"/>
              <w:jc w:val="center"/>
              <w:rPr>
                <w:rFonts w:eastAsia="Cambria" w:cs="Cambria" w:asciiTheme="majorHAnsi" w:hAnsiTheme="majorHAnsi"/>
                <w:b/>
                <w:bCs/>
                <w:sz w:val="24"/>
                <w:szCs w:val="24"/>
              </w:rPr>
            </w:pPr>
          </w:p>
        </w:tc>
        <w:tc>
          <w:tcPr>
            <w:tcW w:w="1677" w:type="dxa"/>
          </w:tcPr>
          <w:p w14:paraId="0B9FB018">
            <w:r>
              <w:t>53.715</w:t>
            </w:r>
          </w:p>
        </w:tc>
      </w:tr>
    </w:tbl>
    <w:p w14:paraId="3743C551">
      <w:pPr>
        <w:ind w:right="411"/>
        <w:jc w:val="center"/>
        <w:rPr>
          <w:rFonts w:eastAsia="Cambria" w:cs="Cambria" w:asciiTheme="majorHAnsi" w:hAnsiTheme="majorHAnsi"/>
          <w:color w:val="000000"/>
          <w:sz w:val="24"/>
          <w:szCs w:val="24"/>
        </w:rPr>
      </w:pPr>
    </w:p>
    <w:p w14:paraId="6C860910">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Jumlah produksi harian yang dihasilkan adalah sebanyak 50 porsi, maka perhitungan Harga Pokok Produksi (HPP) per porsi adalah sebagai berikut:</w:t>
      </w:r>
    </w:p>
    <w:p w14:paraId="5B7503E5">
      <w:pPr>
        <w:pBdr>
          <w:top w:val="none" w:color="auto" w:sz="0" w:space="0"/>
          <w:left w:val="none" w:color="auto" w:sz="0" w:space="0"/>
          <w:bottom w:val="none" w:color="auto" w:sz="0" w:space="0"/>
          <w:right w:val="none" w:color="auto" w:sz="0" w:space="0"/>
          <w:between w:val="none" w:color="auto" w:sz="0" w:space="0"/>
        </w:pBdr>
        <w:rPr>
          <w:rFonts w:eastAsia="Cambria" w:cs="Cambria" w:asciiTheme="majorHAnsi" w:hAnsiTheme="majorHAnsi"/>
          <w:color w:val="000000"/>
          <w:sz w:val="24"/>
          <w:szCs w:val="24"/>
        </w:rPr>
      </w:pPr>
    </w:p>
    <w:p w14:paraId="6DD39A1B">
      <w:pPr>
        <w:pBdr>
          <w:top w:val="none" w:color="auto" w:sz="0" w:space="0"/>
          <w:left w:val="none" w:color="auto" w:sz="0" w:space="0"/>
          <w:bottom w:val="none" w:color="auto" w:sz="0" w:space="0"/>
          <w:right w:val="none" w:color="auto" w:sz="0" w:space="0"/>
          <w:between w:val="none" w:color="auto" w:sz="0" w:space="0"/>
        </w:pBdr>
        <w:jc w:val="center"/>
        <w:rPr>
          <w:rFonts w:eastAsia="Cambria" w:cs="Cambria" w:asciiTheme="majorHAnsi" w:hAnsiTheme="majorHAnsi"/>
          <w:b/>
          <w:bCs/>
          <w:color w:val="000000"/>
          <w:sz w:val="24"/>
          <w:szCs w:val="24"/>
        </w:rPr>
      </w:pPr>
      <w:r>
        <w:rPr>
          <w:rFonts w:eastAsia="Cambria" w:cs="Cambria" w:asciiTheme="majorHAnsi" w:hAnsiTheme="majorHAnsi"/>
          <w:b/>
          <w:bCs/>
          <w:color w:val="000000"/>
          <w:sz w:val="24"/>
          <w:szCs w:val="24"/>
        </w:rPr>
        <w:t>HPP = 53.716 / 50 = Rp 1.074 per porsi</w:t>
      </w:r>
    </w:p>
    <w:p w14:paraId="619EA39C">
      <w:pPr>
        <w:pBdr>
          <w:top w:val="none" w:color="auto" w:sz="0" w:space="0"/>
          <w:left w:val="none" w:color="auto" w:sz="0" w:space="0"/>
          <w:bottom w:val="none" w:color="auto" w:sz="0" w:space="0"/>
          <w:right w:val="none" w:color="auto" w:sz="0" w:space="0"/>
          <w:between w:val="none" w:color="auto" w:sz="0" w:space="0"/>
        </w:pBdr>
        <w:rPr>
          <w:rFonts w:eastAsia="Cambria" w:cs="Cambria" w:asciiTheme="majorHAnsi" w:hAnsiTheme="majorHAnsi"/>
          <w:b/>
          <w:bCs/>
          <w:color w:val="000000"/>
          <w:sz w:val="24"/>
          <w:szCs w:val="24"/>
        </w:rPr>
      </w:pPr>
    </w:p>
    <w:p w14:paraId="7BB89638">
      <w:pPr>
        <w:pBdr>
          <w:top w:val="none" w:color="auto" w:sz="0" w:space="0"/>
          <w:left w:val="none" w:color="auto" w:sz="0" w:space="0"/>
          <w:bottom w:val="none" w:color="auto" w:sz="0" w:space="0"/>
          <w:right w:val="none" w:color="auto" w:sz="0" w:space="0"/>
          <w:between w:val="none" w:color="auto" w:sz="0" w:space="0"/>
        </w:pBdr>
        <w:ind w:firstLine="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Berdasarkan hasil perhitungan tersebut, diperoleh HPP sebesar Rp 1.074 per porsi. Hasil ini menunjukkan bahwa setiap porsi bakso keriting memerlukan biaya produksi sebesar Rp 1.074 sebelum ditambahkan laba penjualan. Dengan harga jual aktual sebesar Rp 2.000 per porsi, maka laba kotor per porsi adalah Rp 926 atau setara dengan margin laba kotor sebesar 46,3%. Perhitungan HPP yang tepat dapat membantu pelaku usaha dalam menentukan harga jual yang lebih sesuai dengan biaya produksi sebenarnya serta memastikan keberlangsungan usaha dalam jangka panjang.</w:t>
      </w:r>
    </w:p>
    <w:p w14:paraId="126BE285">
      <w:pPr>
        <w:pBdr>
          <w:top w:val="none" w:color="auto" w:sz="0" w:space="0"/>
          <w:left w:val="none" w:color="auto" w:sz="0" w:space="0"/>
          <w:bottom w:val="none" w:color="auto" w:sz="0" w:space="0"/>
          <w:right w:val="none" w:color="auto" w:sz="0" w:space="0"/>
          <w:between w:val="none" w:color="auto" w:sz="0" w:space="0"/>
        </w:pBdr>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drawing>
          <wp:anchor distT="0" distB="0" distL="114300" distR="114300" simplePos="0" relativeHeight="251659264" behindDoc="1" locked="0" layoutInCell="1" allowOverlap="1">
            <wp:simplePos x="0" y="0"/>
            <wp:positionH relativeFrom="margin">
              <wp:posOffset>1129665</wp:posOffset>
            </wp:positionH>
            <wp:positionV relativeFrom="paragraph">
              <wp:posOffset>247650</wp:posOffset>
            </wp:positionV>
            <wp:extent cx="3482340" cy="2296160"/>
            <wp:effectExtent l="0" t="0" r="3810" b="8890"/>
            <wp:wrapTopAndBottom/>
            <wp:docPr id="83254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45464"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82340" cy="2296160"/>
                    </a:xfrm>
                    <a:prstGeom prst="rect">
                      <a:avLst/>
                    </a:prstGeom>
                  </pic:spPr>
                </pic:pic>
              </a:graphicData>
            </a:graphic>
          </wp:anchor>
        </w:drawing>
      </w:r>
    </w:p>
    <w:p w14:paraId="7A1AF8B0">
      <w:pPr>
        <w:pStyle w:val="3"/>
        <w:spacing w:line="240" w:lineRule="auto"/>
        <w:ind w:left="0"/>
        <w:jc w:val="center"/>
        <w:rPr>
          <w:rFonts w:eastAsia="Cambria" w:cs="Cambria" w:asciiTheme="majorHAnsi" w:hAnsiTheme="majorHAnsi"/>
        </w:rPr>
      </w:pPr>
      <w:r>
        <w:rPr>
          <w:rFonts w:eastAsia="Cambria" w:cs="Cambria" w:asciiTheme="majorHAnsi" w:hAnsiTheme="majorHAnsi"/>
        </w:rPr>
        <w:t xml:space="preserve">Gambar 2. </w:t>
      </w:r>
      <w:r>
        <w:rPr>
          <w:rFonts w:eastAsia="Cambria" w:cs="Cambria" w:asciiTheme="majorHAnsi" w:hAnsiTheme="majorHAnsi"/>
          <w:b w:val="0"/>
          <w:bCs w:val="0"/>
        </w:rPr>
        <w:t>Cilor</w:t>
      </w:r>
    </w:p>
    <w:p w14:paraId="60E4AFD2">
      <w:pPr>
        <w:pStyle w:val="3"/>
        <w:spacing w:line="240" w:lineRule="auto"/>
        <w:ind w:left="0"/>
        <w:rPr>
          <w:rFonts w:eastAsia="Cambria" w:cs="Cambria" w:asciiTheme="majorHAnsi" w:hAnsiTheme="majorHAnsi"/>
        </w:rPr>
      </w:pPr>
    </w:p>
    <w:p w14:paraId="530E69D9">
      <w:pPr>
        <w:pStyle w:val="3"/>
        <w:spacing w:line="240" w:lineRule="auto"/>
        <w:ind w:left="0"/>
        <w:rPr>
          <w:rFonts w:eastAsia="Cambria" w:cs="Cambria" w:asciiTheme="majorHAnsi" w:hAnsiTheme="majorHAnsi"/>
        </w:rPr>
      </w:pPr>
      <w:r>
        <w:rPr>
          <w:rFonts w:eastAsia="Cambria" w:cs="Cambria" w:asciiTheme="majorHAnsi" w:hAnsiTheme="majorHAnsi"/>
        </w:rPr>
        <w:t xml:space="preserve">KESIMPULAN  </w:t>
      </w:r>
    </w:p>
    <w:p w14:paraId="16775F16">
      <w:pPr>
        <w:pStyle w:val="3"/>
        <w:spacing w:line="240" w:lineRule="auto"/>
        <w:ind w:left="0" w:firstLine="720"/>
        <w:jc w:val="both"/>
        <w:rPr>
          <w:rFonts w:eastAsia="Cambria" w:cs="Cambria" w:asciiTheme="majorHAnsi" w:hAnsiTheme="majorHAnsi"/>
          <w:b w:val="0"/>
          <w:bCs w:val="0"/>
          <w:lang w:val="id-ID"/>
        </w:rPr>
      </w:pPr>
      <w:r>
        <w:rPr>
          <w:rFonts w:eastAsia="Cambria" w:cs="Cambria" w:asciiTheme="majorHAnsi" w:hAnsiTheme="majorHAnsi"/>
          <w:b w:val="0"/>
          <w:bCs w:val="0"/>
          <w:lang w:val="id-ID"/>
        </w:rPr>
        <w:t>Berdasarkan hasil kegiatan yang telah dilakukan pada UMKM Cilor Maklor dan Bakso Keriting di Sedayu, dapat disimpulkan bahwa penerapan perhitungan Harga Pokok Produksi (HPP) menggunakan metode Full Costing mampu menghasilkan perhitungan biaya produksi yang lebih akurat karena seluruh komponen biaya, baik bahan baku maupun biaya overhead pabrik, dihitung secara menyeluruh. Hasil perhitungan menunjukkan bahwa UMKM Cilor Maklor memiliki HPP sebesar Rp469 per porsi dengan harga jual Rp1.000 per porsi, sedangkan UMKM Bakso Keriting memiliki HPP sebesar Rp1.074 per porsi dengan harga jual Rp2.000 per porsi. Dengan demikian, kedua UMKM memperoleh laba kotor yang masih positif, namun sebelumnya penetapan harga jual dilakukan tanpa dasar perhitungan biaya yang tepat sehingga potensi laba tidak terukur secara akurat. Setelah dilakukan pendampingan, pelaku UMKM menjadi lebih memahami struktur biaya produksi dan mampu menggunakan HPP sebagai dasar penentuan harga jual yang lebih rasional, sehingga dapat mendukung pengambilan keputusan usaha, menjaga keberlanjutan usaha, serta meningkatkan efisiensi dan profitabilitas dalam jangka panjang.</w:t>
      </w:r>
    </w:p>
    <w:p w14:paraId="1B392BDF">
      <w:pPr>
        <w:rPr>
          <w:rFonts w:eastAsia="Cambria" w:cs="Cambria" w:asciiTheme="majorHAnsi" w:hAnsiTheme="majorHAnsi"/>
          <w:b/>
          <w:bCs/>
          <w:sz w:val="24"/>
          <w:szCs w:val="24"/>
        </w:rPr>
      </w:pPr>
    </w:p>
    <w:p w14:paraId="30C63EC4">
      <w:pPr>
        <w:pStyle w:val="2"/>
        <w:ind w:left="0" w:firstLine="0"/>
        <w:jc w:val="both"/>
        <w:rPr>
          <w:rFonts w:eastAsia="Cambria" w:cs="Cambria" w:asciiTheme="majorHAnsi" w:hAnsiTheme="majorHAnsi"/>
          <w:sz w:val="24"/>
          <w:szCs w:val="24"/>
        </w:rPr>
      </w:pPr>
      <w:r>
        <w:rPr>
          <w:rFonts w:eastAsia="Cambria" w:cs="Cambria" w:asciiTheme="majorHAnsi" w:hAnsiTheme="majorHAnsi"/>
          <w:sz w:val="24"/>
          <w:szCs w:val="24"/>
        </w:rPr>
        <w:t>DAFTAR PUSTAKA</w:t>
      </w:r>
    </w:p>
    <w:p w14:paraId="342AFA3A">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Agung, I. G., &amp; Lestari, K. (2025). Tantangan akses pembiayaan UMKM terhadap lembaga keuangan formal di Indonesia. 4(2), 1–11.</w:t>
      </w:r>
    </w:p>
    <w:p w14:paraId="6FCE629A">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 xml:space="preserve">Astri. (2021). Penentuan harga pokok produksi yang akurat dalam pengambilan keputusan harga jual. </w:t>
      </w:r>
    </w:p>
    <w:p w14:paraId="5BA99E7C">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Dhea Indah, et al. (2025). Komponen harga pokok produksi dalam proses produksi UMKM.</w:t>
      </w:r>
    </w:p>
    <w:p w14:paraId="1531F4A9">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 xml:space="preserve">Fahreza. (2025). Penentuan harga jual dalam keberlangsungan usaha UMKM. </w:t>
      </w:r>
    </w:p>
    <w:p w14:paraId="3883A34E">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Harefa, A., Zebua, S., &amp; Bawamenewi, A. (2022). Analisis biaya produksi dengan menggunakan metode full costing dalam perhitungan harga pokok produksi. 1(2), 218–223.</w:t>
      </w:r>
    </w:p>
    <w:p w14:paraId="2D1CABBF">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Kadir, N. R., Blongkod, H., &amp; Bokiu, Z. (2025). Penerapan perhitungan harga pokok produksi menggunakan metode full costing dalam menentukan harga jual. 229–241.</w:t>
      </w:r>
    </w:p>
    <w:p w14:paraId="3FF59202">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Noviasari, E. (2020). Peranan perhitungan harga pokok produksi pendekatan full costing dalam menentukan harga jual dengan metode cost plus pricing. 8(1).</w:t>
      </w:r>
    </w:p>
    <w:p w14:paraId="4AEF257A">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 xml:space="preserve">Purwanto, E., &amp; Watini, S. S. (2020). Analisis harga pokok produksi menggunakan metode full costing dalam penetapan harga jual (studi kasus unit usaha Regar Fruit). </w:t>
      </w:r>
    </w:p>
    <w:p w14:paraId="537D8F7D">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Sugiarto, G. R., &amp; Budiantara, M. (2024). Pelatihan pencatatan keuangan pada usaha Capcin Bu Putri dan usaha kue kering PKK Dusun Klenggotan. 5(1), 61–69.</w:t>
      </w:r>
    </w:p>
    <w:p w14:paraId="12F683E8">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Titin &amp; Ika. (2023). Biaya produksi terdiri atas biaya bahan, tenaga kerja dan overhead.</w:t>
      </w:r>
    </w:p>
    <w:p w14:paraId="162F186D">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Triwidatin, et al. (2022). Konsep harga pokok sebagai nilai aktiva dalam perhitungan biaya produksi.</w:t>
      </w:r>
    </w:p>
    <w:p w14:paraId="27C8C978">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Wahyuni, I., Lestari, A., Dewi, R. R., &amp; Ariani, M. (2023). Pelatihan perhitungan harga pokok produksi (HPP) dan penyusunan laporan laba rugi bagi komunitas UMKM di Provinsi Lampung. 06, 60–68.</w:t>
      </w:r>
    </w:p>
    <w:p w14:paraId="5CE5B917">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 xml:space="preserve">Yuspyani &amp; Prihanisetyo. (2021). Penentuan harga jual menggunakan metode full costing dan variable costing. </w:t>
      </w:r>
    </w:p>
    <w:p w14:paraId="73FA7F8B">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r>
        <w:rPr>
          <w:rFonts w:eastAsia="Cambria" w:cs="Cambria" w:asciiTheme="majorHAnsi" w:hAnsiTheme="majorHAnsi"/>
          <w:color w:val="000000"/>
          <w:sz w:val="24"/>
          <w:szCs w:val="24"/>
        </w:rPr>
        <w:t>Yustitia, E. (2022). Pendampingan penentuan harga pokok produksi (HPP) dan harga jual pada UMKM di Desa Sawahkulon. 3(1).</w:t>
      </w:r>
    </w:p>
    <w:p w14:paraId="237F2641">
      <w:pPr>
        <w:widowControl/>
        <w:pBdr>
          <w:top w:val="none" w:color="auto" w:sz="0" w:space="0"/>
          <w:left w:val="none" w:color="auto" w:sz="0" w:space="0"/>
          <w:bottom w:val="none" w:color="auto" w:sz="0" w:space="0"/>
          <w:right w:val="none" w:color="auto" w:sz="0" w:space="0"/>
          <w:between w:val="none" w:color="auto" w:sz="0" w:space="0"/>
        </w:pBdr>
        <w:ind w:left="720" w:hanging="720"/>
        <w:jc w:val="both"/>
        <w:rPr>
          <w:rFonts w:eastAsia="Cambria" w:cs="Cambria" w:asciiTheme="majorHAnsi" w:hAnsiTheme="majorHAnsi"/>
          <w:color w:val="000000"/>
          <w:sz w:val="24"/>
          <w:szCs w:val="24"/>
        </w:rPr>
      </w:pPr>
    </w:p>
    <w:sectPr>
      <w:headerReference r:id="rId3" w:type="default"/>
      <w:footerReference r:id="rId4" w:type="default"/>
      <w:type w:val="continuous"/>
      <w:pgSz w:w="11910" w:h="16840"/>
      <w:pgMar w:top="1440" w:right="1440" w:bottom="1440" w:left="1440" w:header="562" w:footer="567" w:gutter="0"/>
      <w:pgNumType w:fmt="decimal" w:start="234"/>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D59ED0AF-D748-44D8-87CF-1B864A7856A9}"/>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35C2A187-8968-4C27-879E-F69AE72B136C}"/>
  </w:font>
  <w:font w:name="Wingdings">
    <w:panose1 w:val="05000000000000000000"/>
    <w:charset w:val="02"/>
    <w:family w:val="auto"/>
    <w:pitch w:val="default"/>
    <w:sig w:usb0="00000000" w:usb1="00000000" w:usb2="00000000" w:usb3="00000000" w:csb0="80000000" w:csb1="00000000"/>
    <w:embedRegular r:id="rId3" w:fontKey="{BB73AA81-06EB-4BE1-BD66-D09994E862A8}"/>
  </w:font>
  <w:font w:name="Calibri">
    <w:panose1 w:val="020F0502020204030204"/>
    <w:charset w:val="00"/>
    <w:family w:val="swiss"/>
    <w:pitch w:val="default"/>
    <w:sig w:usb0="E4002EFF" w:usb1="C000247B" w:usb2="00000009" w:usb3="00000000" w:csb0="200001FF" w:csb1="00000000"/>
    <w:embedRegular r:id="rId4" w:fontKey="{842DBC7A-8EEF-4E84-9288-0BFBF039973D}"/>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embedRegular r:id="rId5" w:fontKey="{ABE1E7D9-BB6F-416D-9C83-730FA093E78F}"/>
  </w:font>
  <w:font w:name="Tahoma">
    <w:panose1 w:val="020B0604030504040204"/>
    <w:charset w:val="00"/>
    <w:family w:val="swiss"/>
    <w:pitch w:val="default"/>
    <w:sig w:usb0="E1002EFF" w:usb1="C000605B" w:usb2="00000029" w:usb3="00000000" w:csb0="200101FF" w:csb1="20280000"/>
    <w:embedRegular r:id="rId6" w:fontKey="{4B21CFBA-FFCC-42B5-9415-4AA930724AB8}"/>
  </w:font>
  <w:font w:name="Open Sans">
    <w:panose1 w:val="020B0606030504020204"/>
    <w:charset w:val="00"/>
    <w:family w:val="swiss"/>
    <w:pitch w:val="default"/>
    <w:sig w:usb0="E00002EF" w:usb1="4000205B" w:usb2="00000028" w:usb3="00000000" w:csb0="2000019F" w:csb1="00000000"/>
    <w:embedRegular r:id="rId7" w:fontKey="{D1ABFE4F-3329-40C0-B5D3-102031C58A5E}"/>
  </w:font>
  <w:font w:name="Georgia">
    <w:panose1 w:val="02040502050405020303"/>
    <w:charset w:val="00"/>
    <w:family w:val="roman"/>
    <w:pitch w:val="default"/>
    <w:sig w:usb0="00000287" w:usb1="00000000" w:usb2="00000000" w:usb3="00000000" w:csb0="2000009F" w:csb1="00000000"/>
    <w:embedRegular r:id="rId8" w:fontKey="{3B417DF7-281E-4E8D-A43C-FADA36B1B9EF}"/>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1711">
    <w:pPr>
      <w:pStyle w:val="13"/>
    </w:pPr>
    <w:r>
      <w:rPr>
        <w:sz w:val="2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FA86CF">
                          <w:pPr>
                            <w:pStyle w:val="13"/>
                          </w:pPr>
                          <w:r>
                            <w:rPr>
                              <w:rFonts w:hint="default"/>
                              <w:lang w:val="en-US"/>
                            </w:rPr>
                            <w:t xml:space="preserve">Hal </w:t>
                          </w: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0393MAgAAIwYAAA4AAABkcnMvZTJvRG9jLnhtbK1UbW/bIBD+Pmn/&#10;AfHd9cvc1InqVGlcT5OqtVI77TPBOEbDgIC8dNP++w4cJ203TZW2fHAO7ni457njLq/2vUBbZixX&#10;ssTpWYIRk1Q1XK5L/OWxjgqMrCOyIUJJVuInZvHV/P27y52esUx1SjTMIACRdrbTJe6c07M4trRj&#10;PbFnSjMJzlaZnjhYmnXcGLID9F7EWZJM4p0yjTaKMmthtxqc+IBo3gKo2pZTVim66Zl0A6phgjig&#10;ZDuuLZ6HbNuWUXfXtpY5JEoMTF34wiVgr/w3nl+S2doQ3XF6SIG8JYVXnHrCJVx6hKqII2hj+G9Q&#10;PadGWdW6M6r6eCASFAEWafJKm4eOaBa4gNRWH0W3/w+Wft7eG8SbEmcYSdJDwR/Z3qFrtUeZV2en&#10;7QyCHjSEuT1sQ8+M+xY2Pel9a3r/D3QQ+EHbp6O2Hoz6Q0VWFAm4KPjGBeDHp+PaWPeRqR55o8QG&#10;ihc0Jdtb64bQMcTfJlXNhQgFFBLtSjz5cJ6EA0cPgAvpYyELwDhYQ2F+TJPpTXFT5FGeTW6iPKmq&#10;aFEv82hSpxfn1YdquazSnx4vzWcdbxom/X1jk6T524pwaJShvMc2sUrwxsP5lKxZr5bCoC2BJq3D&#10;zysMyT8Li1+mEdzA6hWlNMuT62wa1ZPiIsrr/DyaXiRFlKTT6+kkyad5Vb+kdMsl+3dKL9R/ljSZ&#10;+YIdua0Eod/+Ss2nc6IGCoyFi30fDv3mLbdf7UEib65U8wS9adTwtq2mNYdLb4l198TAY4aeg3Hn&#10;7uDTCgV9og4WRp0y3/+07+OhvODFaAfDocQSZiFG4pOEtweAbjTMaKxGQ276pYJCpjBGNQ0mHDBO&#10;jGZrVP8VZuDC3wEuIincVGI3mks3DCiYoZQtFiFoow1fd8MBmByauFv5oKm/JrSQXmwcvIfwTE6q&#10;gJR+AbMjiHqYc344PV+HqNNs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PX0393MAgAA&#10;IwYAAA4AAAAAAAAAAQAgAAAAHwEAAGRycy9lMm9Eb2MueG1sUEsFBgAAAAAGAAYAWQEAAF0GAAAA&#10;AA==&#10;">
              <v:fill on="f" focussize="0,0"/>
              <v:stroke on="f" weight="0.5pt"/>
              <v:imagedata o:title=""/>
              <o:lock v:ext="edit" aspectratio="f"/>
              <v:textbox inset="0mm,0mm,0mm,0mm" style="mso-fit-shape-to-text:t;">
                <w:txbxContent>
                  <w:p w14:paraId="19FA86CF">
                    <w:pPr>
                      <w:pStyle w:val="13"/>
                    </w:pPr>
                    <w:r>
                      <w:rPr>
                        <w:rFonts w:hint="default"/>
                        <w:lang w:val="en-US"/>
                      </w:rPr>
                      <w:t xml:space="preserve">Hal </w:t>
                    </w:r>
                    <w:r>
                      <w:fldChar w:fldCharType="begin"/>
                    </w:r>
                    <w:r>
                      <w:instrText xml:space="preserve"> PAGE  \* MERGEFORMAT </w:instrText>
                    </w:r>
                    <w:r>
                      <w:fldChar w:fldCharType="separate"/>
                    </w:r>
                    <w:r>
                      <w:t>234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F6100">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76" w:lineRule="auto"/>
      <w:rPr>
        <w:b/>
        <w:color w:val="000000"/>
        <w:sz w:val="24"/>
        <w:szCs w:val="24"/>
      </w:rPr>
    </w:pPr>
    <w:r>
      <w:rPr>
        <w:rFonts w:eastAsia="Cambria"/>
        <w:b/>
        <w:sz w:val="24"/>
        <w:szCs w:val="24"/>
      </w:rPr>
      <w:drawing>
        <wp:anchor distT="0" distB="0" distL="114300" distR="114300" simplePos="0" relativeHeight="251660288" behindDoc="1" locked="0" layoutInCell="1" allowOverlap="1">
          <wp:simplePos x="0" y="0"/>
          <wp:positionH relativeFrom="column">
            <wp:posOffset>4062095</wp:posOffset>
          </wp:positionH>
          <wp:positionV relativeFrom="paragraph">
            <wp:posOffset>97155</wp:posOffset>
          </wp:positionV>
          <wp:extent cx="1630045" cy="748030"/>
          <wp:effectExtent l="0" t="0" r="8255" b="13970"/>
          <wp:wrapNone/>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045" cy="748030"/>
                  </a:xfrm>
                  <a:prstGeom prst="rect">
                    <a:avLst/>
                  </a:prstGeom>
                </pic:spPr>
              </pic:pic>
            </a:graphicData>
          </a:graphic>
        </wp:anchor>
      </w:drawing>
    </w:r>
    <w:r>
      <w:rPr>
        <w:b/>
        <w:color w:val="000000"/>
        <w:sz w:val="24"/>
        <w:szCs w:val="24"/>
      </w:rPr>
      <w:t>Jurnal Pengabdian Masyarakat: Ekonomi dan Bisnis Digital</w:t>
    </w:r>
    <w:r>
      <w:rPr>
        <w:b/>
        <w:color w:val="000000"/>
        <w:sz w:val="24"/>
        <w:szCs w:val="24"/>
        <w:lang w:val="id-ID"/>
      </w:rPr>
      <w:t xml:space="preserve"> </w:t>
    </w:r>
    <w:r>
      <w:rPr>
        <w:b/>
        <w:color w:val="000000"/>
        <w:sz w:val="24"/>
        <w:szCs w:val="24"/>
      </w:rPr>
      <w:t xml:space="preserve">(JPMEBD)                 </w:t>
    </w:r>
    <w:r>
      <w:rPr>
        <w:b/>
        <w:color w:val="000000"/>
        <w:sz w:val="24"/>
        <w:szCs w:val="24"/>
      </w:rPr>
      <w:tab/>
    </w:r>
  </w:p>
  <w:p w14:paraId="33890F46">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76" w:lineRule="auto"/>
      <w:rPr>
        <w:b/>
        <w:color w:val="000000"/>
        <w:sz w:val="24"/>
        <w:szCs w:val="24"/>
        <w:lang w:val="id-ID"/>
      </w:rPr>
    </w:pPr>
    <w:r>
      <w:rPr>
        <w:b/>
        <w:color w:val="000000"/>
        <w:sz w:val="24"/>
        <w:szCs w:val="24"/>
      </w:rPr>
      <w:t xml:space="preserve">Volume </w:t>
    </w:r>
    <w:r>
      <w:rPr>
        <w:b/>
        <w:color w:val="000000"/>
        <w:sz w:val="24"/>
        <w:szCs w:val="24"/>
        <w:lang w:val="id-ID"/>
      </w:rPr>
      <w:t>3</w:t>
    </w:r>
    <w:r>
      <w:rPr>
        <w:b/>
        <w:color w:val="000000"/>
        <w:sz w:val="24"/>
        <w:szCs w:val="24"/>
      </w:rPr>
      <w:t xml:space="preserve">, No </w:t>
    </w:r>
    <w:r>
      <w:rPr>
        <w:b/>
        <w:color w:val="000000"/>
        <w:sz w:val="24"/>
        <w:szCs w:val="24"/>
        <w:lang w:val="id-ID"/>
      </w:rPr>
      <w:t>2</w:t>
    </w:r>
    <w:r>
      <w:rPr>
        <w:b/>
        <w:color w:val="000000"/>
        <w:sz w:val="24"/>
        <w:szCs w:val="24"/>
      </w:rPr>
      <w:t xml:space="preserve"> – </w:t>
    </w:r>
    <w:r>
      <w:rPr>
        <w:b/>
        <w:color w:val="000000"/>
        <w:sz w:val="24"/>
        <w:szCs w:val="24"/>
        <w:lang w:val="id-ID"/>
      </w:rPr>
      <w:t xml:space="preserve">Juni </w:t>
    </w:r>
    <w:r>
      <w:rPr>
        <w:b/>
        <w:color w:val="000000"/>
        <w:sz w:val="24"/>
        <w:szCs w:val="24"/>
      </w:rPr>
      <w:t>202</w:t>
    </w:r>
    <w:r>
      <w:rPr>
        <w:b/>
        <w:color w:val="000000"/>
        <w:sz w:val="24"/>
        <w:szCs w:val="24"/>
        <w:lang w:val="id-ID"/>
      </w:rPr>
      <w:t>6</w:t>
    </w:r>
  </w:p>
  <w:p w14:paraId="2C1BB4D7">
    <w:pPr>
      <w:pBdr>
        <w:top w:val="none" w:color="auto" w:sz="0" w:space="0"/>
        <w:left w:val="none" w:color="auto" w:sz="0" w:space="0"/>
        <w:bottom w:val="none" w:color="auto" w:sz="0" w:space="0"/>
        <w:right w:val="none" w:color="auto" w:sz="0" w:space="0"/>
        <w:between w:val="none" w:color="auto" w:sz="0" w:space="0"/>
      </w:pBdr>
      <w:tabs>
        <w:tab w:val="left" w:pos="2370"/>
        <w:tab w:val="center" w:pos="4680"/>
        <w:tab w:val="right" w:pos="9360"/>
      </w:tabs>
      <w:spacing w:line="276" w:lineRule="auto"/>
      <w:rPr>
        <w:b/>
        <w:color w:val="000000"/>
        <w:sz w:val="24"/>
        <w:szCs w:val="24"/>
      </w:rPr>
    </w:pPr>
    <w:r>
      <w:rPr>
        <w:b/>
        <w:color w:val="000000"/>
        <w:sz w:val="24"/>
        <w:szCs w:val="24"/>
      </w:rPr>
      <w:t>e-ISSN :</w:t>
    </w:r>
    <w:r>
      <w:rPr>
        <w:b/>
        <w:color w:val="000000"/>
        <w:sz w:val="24"/>
        <w:szCs w:val="24"/>
        <w:lang w:val="id-ID"/>
      </w:rPr>
      <w:t xml:space="preserve"> </w:t>
    </w:r>
    <w:r>
      <w:rPr>
        <w:rStyle w:val="17"/>
        <w:sz w:val="24"/>
        <w:szCs w:val="24"/>
        <w:shd w:val="clear" w:color="auto" w:fill="FFFFFF"/>
      </w:rPr>
      <w:t>3046-8329</w:t>
    </w:r>
    <w:r>
      <w:rPr>
        <w:b/>
        <w:color w:val="000000"/>
        <w:sz w:val="24"/>
        <w:szCs w:val="24"/>
      </w:rPr>
      <w:tab/>
    </w:r>
  </w:p>
  <w:p w14:paraId="5796C6D5">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097D54"/>
    <w:multiLevelType w:val="multilevel"/>
    <w:tmpl w:val="38097D54"/>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EA4"/>
    <w:rsid w:val="00045B41"/>
    <w:rsid w:val="000516A3"/>
    <w:rsid w:val="000A3E3D"/>
    <w:rsid w:val="000B39A8"/>
    <w:rsid w:val="000B68DE"/>
    <w:rsid w:val="000E6730"/>
    <w:rsid w:val="000F0C25"/>
    <w:rsid w:val="000F3202"/>
    <w:rsid w:val="000F6AEF"/>
    <w:rsid w:val="00100FDF"/>
    <w:rsid w:val="00102308"/>
    <w:rsid w:val="00107458"/>
    <w:rsid w:val="0012657F"/>
    <w:rsid w:val="001861C8"/>
    <w:rsid w:val="001C7055"/>
    <w:rsid w:val="002134DD"/>
    <w:rsid w:val="002275FE"/>
    <w:rsid w:val="00234692"/>
    <w:rsid w:val="00276ECF"/>
    <w:rsid w:val="00284433"/>
    <w:rsid w:val="002944FB"/>
    <w:rsid w:val="00297B4E"/>
    <w:rsid w:val="002A39C4"/>
    <w:rsid w:val="002C6CBE"/>
    <w:rsid w:val="00307E2D"/>
    <w:rsid w:val="00310EA4"/>
    <w:rsid w:val="003124F4"/>
    <w:rsid w:val="00312802"/>
    <w:rsid w:val="00332FBA"/>
    <w:rsid w:val="003717BE"/>
    <w:rsid w:val="003A1B09"/>
    <w:rsid w:val="003C7A44"/>
    <w:rsid w:val="003D01B7"/>
    <w:rsid w:val="004416B6"/>
    <w:rsid w:val="0045369D"/>
    <w:rsid w:val="00462DA4"/>
    <w:rsid w:val="0049504B"/>
    <w:rsid w:val="004D4F7C"/>
    <w:rsid w:val="004E0316"/>
    <w:rsid w:val="005668F6"/>
    <w:rsid w:val="00591BCA"/>
    <w:rsid w:val="00597679"/>
    <w:rsid w:val="005D5F57"/>
    <w:rsid w:val="005E243D"/>
    <w:rsid w:val="005E52D1"/>
    <w:rsid w:val="0062241B"/>
    <w:rsid w:val="006350FC"/>
    <w:rsid w:val="00656C2A"/>
    <w:rsid w:val="00673977"/>
    <w:rsid w:val="00692751"/>
    <w:rsid w:val="006A463B"/>
    <w:rsid w:val="006A7B0D"/>
    <w:rsid w:val="006F6E79"/>
    <w:rsid w:val="00713264"/>
    <w:rsid w:val="0075036F"/>
    <w:rsid w:val="007552F8"/>
    <w:rsid w:val="00795970"/>
    <w:rsid w:val="007B0890"/>
    <w:rsid w:val="007C5788"/>
    <w:rsid w:val="007D2690"/>
    <w:rsid w:val="008016A3"/>
    <w:rsid w:val="00816F49"/>
    <w:rsid w:val="0084133D"/>
    <w:rsid w:val="00886CBF"/>
    <w:rsid w:val="008B4D87"/>
    <w:rsid w:val="008C0BE1"/>
    <w:rsid w:val="008D5740"/>
    <w:rsid w:val="008E1862"/>
    <w:rsid w:val="009042C2"/>
    <w:rsid w:val="00964DA7"/>
    <w:rsid w:val="00972C60"/>
    <w:rsid w:val="00A55BAD"/>
    <w:rsid w:val="00A8198E"/>
    <w:rsid w:val="00AA75A4"/>
    <w:rsid w:val="00AA7AD7"/>
    <w:rsid w:val="00AC0615"/>
    <w:rsid w:val="00AC47A4"/>
    <w:rsid w:val="00B30298"/>
    <w:rsid w:val="00B30B00"/>
    <w:rsid w:val="00BA78D1"/>
    <w:rsid w:val="00BB6D69"/>
    <w:rsid w:val="00BC08CB"/>
    <w:rsid w:val="00BC1839"/>
    <w:rsid w:val="00C077EE"/>
    <w:rsid w:val="00C61E6D"/>
    <w:rsid w:val="00C70B52"/>
    <w:rsid w:val="00C84283"/>
    <w:rsid w:val="00C8611B"/>
    <w:rsid w:val="00DC4109"/>
    <w:rsid w:val="00E163C9"/>
    <w:rsid w:val="00E16D88"/>
    <w:rsid w:val="00E3266A"/>
    <w:rsid w:val="00E33B7F"/>
    <w:rsid w:val="00E410C6"/>
    <w:rsid w:val="00E4125A"/>
    <w:rsid w:val="00E5103D"/>
    <w:rsid w:val="00E53C1F"/>
    <w:rsid w:val="00E7474D"/>
    <w:rsid w:val="00ED59A6"/>
    <w:rsid w:val="00EE3A65"/>
    <w:rsid w:val="00F166F1"/>
    <w:rsid w:val="00F311AC"/>
    <w:rsid w:val="00F314E3"/>
    <w:rsid w:val="00F80C5C"/>
    <w:rsid w:val="00FA5FA5"/>
    <w:rsid w:val="3D0D657C"/>
    <w:rsid w:val="410E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9"/>
    <w:pPr>
      <w:ind w:left="611" w:right="592" w:hanging="1"/>
      <w:jc w:val="center"/>
      <w:outlineLvl w:val="0"/>
    </w:pPr>
    <w:rPr>
      <w:b/>
      <w:bCs/>
      <w:sz w:val="28"/>
      <w:szCs w:val="28"/>
    </w:rPr>
  </w:style>
  <w:style w:type="paragraph" w:styleId="3">
    <w:name w:val="heading 2"/>
    <w:basedOn w:val="1"/>
    <w:unhideWhenUsed/>
    <w:qFormat/>
    <w:uiPriority w:val="9"/>
    <w:pPr>
      <w:spacing w:line="275" w:lineRule="exact"/>
      <w:ind w:left="177"/>
      <w:outlineLvl w:val="1"/>
    </w:pPr>
    <w:rPr>
      <w:b/>
      <w:bCs/>
      <w:sz w:val="24"/>
      <w:szCs w:val="24"/>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link w:val="27"/>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4"/>
    <w:semiHidden/>
    <w:unhideWhenUsed/>
    <w:qFormat/>
    <w:uiPriority w:val="99"/>
    <w:rPr>
      <w:rFonts w:ascii="Tahoma" w:hAnsi="Tahoma" w:cs="Tahoma"/>
      <w:sz w:val="16"/>
      <w:szCs w:val="16"/>
    </w:rPr>
  </w:style>
  <w:style w:type="paragraph" w:styleId="11">
    <w:name w:val="Body Text"/>
    <w:basedOn w:val="1"/>
    <w:link w:val="43"/>
    <w:qFormat/>
    <w:uiPriority w:val="1"/>
    <w:pPr>
      <w:ind w:left="177"/>
      <w:jc w:val="both"/>
    </w:pPr>
    <w:rPr>
      <w:sz w:val="24"/>
      <w:szCs w:val="24"/>
    </w:rPr>
  </w:style>
  <w:style w:type="paragraph" w:styleId="12">
    <w:name w:val="Body Text Indent 2"/>
    <w:basedOn w:val="1"/>
    <w:link w:val="32"/>
    <w:semiHidden/>
    <w:unhideWhenUsed/>
    <w:qFormat/>
    <w:uiPriority w:val="99"/>
    <w:pPr>
      <w:spacing w:after="120" w:line="480" w:lineRule="auto"/>
      <w:ind w:left="360"/>
    </w:pPr>
  </w:style>
  <w:style w:type="paragraph" w:styleId="13">
    <w:name w:val="footer"/>
    <w:basedOn w:val="1"/>
    <w:link w:val="26"/>
    <w:unhideWhenUsed/>
    <w:qFormat/>
    <w:uiPriority w:val="99"/>
    <w:pPr>
      <w:tabs>
        <w:tab w:val="center" w:pos="4680"/>
        <w:tab w:val="right" w:pos="9360"/>
      </w:tabs>
    </w:pPr>
  </w:style>
  <w:style w:type="paragraph" w:styleId="14">
    <w:name w:val="header"/>
    <w:basedOn w:val="1"/>
    <w:link w:val="25"/>
    <w:unhideWhenUsed/>
    <w:qFormat/>
    <w:uiPriority w:val="99"/>
    <w:pPr>
      <w:tabs>
        <w:tab w:val="center" w:pos="4680"/>
        <w:tab w:val="right" w:pos="9360"/>
      </w:tabs>
    </w:pPr>
  </w:style>
  <w:style w:type="character" w:styleId="15">
    <w:name w:val="Hyperlink"/>
    <w:basedOn w:val="8"/>
    <w:unhideWhenUsed/>
    <w:qFormat/>
    <w:uiPriority w:val="99"/>
    <w:rPr>
      <w:color w:val="0000FF" w:themeColor="hyperlink"/>
      <w:u w:val="single"/>
      <w14:textFill>
        <w14:solidFill>
          <w14:schemeClr w14:val="hlink"/>
        </w14:solidFill>
      </w14:textFill>
    </w:rPr>
  </w:style>
  <w:style w:type="paragraph" w:styleId="16">
    <w:name w:val="Normal (Web)"/>
    <w:basedOn w:val="1"/>
    <w:unhideWhenUsed/>
    <w:qFormat/>
    <w:uiPriority w:val="99"/>
    <w:pPr>
      <w:widowControl/>
      <w:spacing w:before="100" w:beforeAutospacing="1" w:after="100" w:afterAutospacing="1"/>
    </w:pPr>
    <w:rPr>
      <w:sz w:val="24"/>
      <w:szCs w:val="24"/>
      <w:lang w:val="id-ID" w:eastAsia="id-ID"/>
    </w:rPr>
  </w:style>
  <w:style w:type="character" w:styleId="17">
    <w:name w:val="Strong"/>
    <w:basedOn w:val="8"/>
    <w:qFormat/>
    <w:uiPriority w:val="22"/>
    <w:rPr>
      <w:b/>
      <w:bCs/>
    </w:rPr>
  </w:style>
  <w:style w:type="paragraph" w:styleId="18">
    <w:name w:val="Subtitle"/>
    <w:basedOn w:val="1"/>
    <w:next w:val="1"/>
    <w:qFormat/>
    <w:uiPriority w:val="11"/>
    <w:pPr>
      <w:keepNext/>
      <w:keepLines/>
      <w:spacing w:before="360" w:after="80"/>
    </w:pPr>
    <w:rPr>
      <w:rFonts w:ascii="Georgia" w:hAnsi="Georgia" w:eastAsia="Georgia" w:cs="Georgia"/>
      <w:i/>
      <w:iCs/>
      <w:color w:val="666666"/>
      <w:sz w:val="48"/>
      <w:szCs w:val="48"/>
    </w:rPr>
  </w:style>
  <w:style w:type="table" w:styleId="19">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qFormat/>
    <w:uiPriority w:val="10"/>
    <w:pPr>
      <w:keepNext/>
      <w:keepLines/>
      <w:spacing w:before="480" w:after="120"/>
    </w:pPr>
    <w:rPr>
      <w:b/>
      <w:sz w:val="72"/>
      <w:szCs w:val="72"/>
    </w:rPr>
  </w:style>
  <w:style w:type="table" w:customStyle="1" w:styleId="21">
    <w:name w:val="TableNormal"/>
    <w:qFormat/>
    <w:uiPriority w:val="0"/>
    <w:tblPr>
      <w:tblCellMar>
        <w:top w:w="100" w:type="dxa"/>
        <w:left w:w="100" w:type="dxa"/>
        <w:bottom w:w="100" w:type="dxa"/>
        <w:right w:w="100" w:type="dxa"/>
      </w:tblCellMar>
    </w:tblPr>
  </w:style>
  <w:style w:type="paragraph" w:styleId="22">
    <w:name w:val="List Paragraph"/>
    <w:basedOn w:val="1"/>
    <w:link w:val="34"/>
    <w:qFormat/>
    <w:uiPriority w:val="34"/>
    <w:pPr>
      <w:ind w:left="869" w:right="155" w:hanging="361"/>
      <w:jc w:val="both"/>
    </w:pPr>
  </w:style>
  <w:style w:type="paragraph" w:customStyle="1" w:styleId="23">
    <w:name w:val="Table Paragraph"/>
    <w:basedOn w:val="1"/>
    <w:qFormat/>
    <w:uiPriority w:val="1"/>
  </w:style>
  <w:style w:type="character" w:customStyle="1" w:styleId="24">
    <w:name w:val="Balloon Text Char"/>
    <w:basedOn w:val="8"/>
    <w:link w:val="10"/>
    <w:semiHidden/>
    <w:qFormat/>
    <w:uiPriority w:val="99"/>
    <w:rPr>
      <w:rFonts w:ascii="Tahoma" w:hAnsi="Tahoma" w:eastAsia="Times New Roman" w:cs="Tahoma"/>
      <w:sz w:val="16"/>
      <w:szCs w:val="16"/>
    </w:rPr>
  </w:style>
  <w:style w:type="character" w:customStyle="1" w:styleId="25">
    <w:name w:val="Header Char"/>
    <w:basedOn w:val="8"/>
    <w:link w:val="14"/>
    <w:qFormat/>
    <w:uiPriority w:val="99"/>
    <w:rPr>
      <w:rFonts w:ascii="Times New Roman" w:hAnsi="Times New Roman" w:eastAsia="Times New Roman" w:cs="Times New Roman"/>
    </w:rPr>
  </w:style>
  <w:style w:type="character" w:customStyle="1" w:styleId="26">
    <w:name w:val="Footer Char"/>
    <w:basedOn w:val="8"/>
    <w:link w:val="13"/>
    <w:qFormat/>
    <w:uiPriority w:val="99"/>
    <w:rPr>
      <w:rFonts w:ascii="Times New Roman" w:hAnsi="Times New Roman" w:eastAsia="Times New Roman" w:cs="Times New Roman"/>
    </w:rPr>
  </w:style>
  <w:style w:type="character" w:customStyle="1" w:styleId="27">
    <w:name w:val="Heading 5 Char"/>
    <w:basedOn w:val="8"/>
    <w:link w:val="6"/>
    <w:semiHidden/>
    <w:qFormat/>
    <w:uiPriority w:val="9"/>
    <w:rPr>
      <w:rFonts w:asciiTheme="majorHAnsi" w:hAnsiTheme="majorHAnsi" w:eastAsiaTheme="majorEastAsia" w:cstheme="majorBidi"/>
      <w:color w:val="254061" w:themeColor="accent1" w:themeShade="80"/>
    </w:rPr>
  </w:style>
  <w:style w:type="character" w:customStyle="1" w:styleId="28">
    <w:name w:val="AFFILIATION Char"/>
    <w:link w:val="29"/>
    <w:qFormat/>
    <w:locked/>
    <w:uiPriority w:val="0"/>
    <w:rPr>
      <w:rFonts w:ascii="Open Sans" w:hAnsi="Open Sans"/>
      <w:b/>
      <w:bCs/>
      <w:i/>
      <w:iCs/>
      <w:sz w:val="18"/>
      <w:szCs w:val="26"/>
      <w:lang w:val="id-ID"/>
    </w:rPr>
  </w:style>
  <w:style w:type="paragraph" w:customStyle="1" w:styleId="29">
    <w:name w:val="AFFILIATION"/>
    <w:basedOn w:val="6"/>
    <w:link w:val="28"/>
    <w:qFormat/>
    <w:uiPriority w:val="0"/>
    <w:pPr>
      <w:keepNext w:val="0"/>
      <w:keepLines w:val="0"/>
      <w:widowControl/>
      <w:spacing w:before="0" w:line="240" w:lineRule="atLeast"/>
      <w:jc w:val="center"/>
    </w:pPr>
    <w:rPr>
      <w:rFonts w:ascii="Open Sans" w:hAnsi="Open Sans" w:eastAsiaTheme="minorHAnsi" w:cstheme="minorBidi"/>
      <w:b/>
      <w:bCs/>
      <w:i/>
      <w:iCs/>
      <w:color w:val="auto"/>
      <w:sz w:val="18"/>
      <w:szCs w:val="26"/>
      <w:lang w:val="id-ID"/>
    </w:rPr>
  </w:style>
  <w:style w:type="character" w:customStyle="1" w:styleId="30">
    <w:name w:val="C_ABSTRACT Char"/>
    <w:link w:val="31"/>
    <w:qFormat/>
    <w:locked/>
    <w:uiPriority w:val="0"/>
    <w:rPr>
      <w:rFonts w:ascii="Open Sans" w:hAnsi="Open Sans"/>
      <w:i/>
      <w:sz w:val="18"/>
      <w:szCs w:val="24"/>
      <w:lang w:val="id-ID"/>
    </w:rPr>
  </w:style>
  <w:style w:type="paragraph" w:customStyle="1" w:styleId="31">
    <w:name w:val="C_ABSTRACT"/>
    <w:basedOn w:val="12"/>
    <w:link w:val="30"/>
    <w:qFormat/>
    <w:uiPriority w:val="0"/>
    <w:pPr>
      <w:widowControl/>
      <w:spacing w:after="0" w:line="220" w:lineRule="atLeast"/>
      <w:ind w:left="284" w:right="57"/>
      <w:jc w:val="both"/>
    </w:pPr>
    <w:rPr>
      <w:rFonts w:ascii="Open Sans" w:hAnsi="Open Sans" w:eastAsiaTheme="minorHAnsi" w:cstheme="minorBidi"/>
      <w:i/>
      <w:sz w:val="18"/>
      <w:szCs w:val="24"/>
      <w:lang w:val="id-ID"/>
    </w:rPr>
  </w:style>
  <w:style w:type="character" w:customStyle="1" w:styleId="32">
    <w:name w:val="Body Text Indent 2 Char"/>
    <w:basedOn w:val="8"/>
    <w:link w:val="12"/>
    <w:semiHidden/>
    <w:qFormat/>
    <w:uiPriority w:val="99"/>
    <w:rPr>
      <w:rFonts w:ascii="Times New Roman" w:hAnsi="Times New Roman" w:eastAsia="Times New Roman" w:cs="Times New Roman"/>
    </w:rPr>
  </w:style>
  <w:style w:type="table" w:customStyle="1" w:styleId="33">
    <w:name w:val="_Style 31"/>
    <w:basedOn w:val="9"/>
    <w:qFormat/>
    <w:uiPriority w:val="0"/>
  </w:style>
  <w:style w:type="character" w:customStyle="1" w:styleId="34">
    <w:name w:val="List Paragraph Char"/>
    <w:basedOn w:val="8"/>
    <w:link w:val="22"/>
    <w:qFormat/>
    <w:uiPriority w:val="34"/>
  </w:style>
  <w:style w:type="paragraph" w:customStyle="1" w:styleId="35">
    <w:name w:val="Bibliography"/>
    <w:basedOn w:val="1"/>
    <w:next w:val="1"/>
    <w:unhideWhenUsed/>
    <w:qFormat/>
    <w:uiPriority w:val="37"/>
    <w:pPr>
      <w:widowControl/>
      <w:spacing w:after="160" w:line="259" w:lineRule="auto"/>
    </w:pPr>
    <w:rPr>
      <w:rFonts w:asciiTheme="minorHAnsi" w:hAnsiTheme="minorHAnsi" w:eastAsiaTheme="minorEastAsia"/>
      <w:lang w:val="zh-CN"/>
    </w:rPr>
  </w:style>
  <w:style w:type="character" w:customStyle="1" w:styleId="36">
    <w:name w:val="Unresolved Mention1"/>
    <w:basedOn w:val="8"/>
    <w:semiHidden/>
    <w:unhideWhenUsed/>
    <w:uiPriority w:val="99"/>
    <w:rPr>
      <w:color w:val="605E5C"/>
      <w:shd w:val="clear" w:color="auto" w:fill="E1DFDD"/>
    </w:rPr>
  </w:style>
  <w:style w:type="table" w:customStyle="1" w:styleId="37">
    <w:name w:val="_Style 35"/>
    <w:basedOn w:val="9"/>
    <w:qFormat/>
    <w:uiPriority w:val="0"/>
    <w:tblPr>
      <w:tblCellMar>
        <w:top w:w="15" w:type="dxa"/>
        <w:left w:w="15" w:type="dxa"/>
        <w:bottom w:w="15" w:type="dxa"/>
        <w:right w:w="15" w:type="dxa"/>
      </w:tblCellMar>
    </w:tblPr>
  </w:style>
  <w:style w:type="table" w:customStyle="1" w:styleId="38">
    <w:name w:val="_Style 36"/>
    <w:basedOn w:val="9"/>
    <w:qFormat/>
    <w:uiPriority w:val="0"/>
    <w:tblPr>
      <w:tblCellMar>
        <w:left w:w="115" w:type="dxa"/>
        <w:right w:w="115" w:type="dxa"/>
      </w:tblCellMar>
    </w:tblPr>
  </w:style>
  <w:style w:type="table" w:customStyle="1" w:styleId="39">
    <w:name w:val="_Style 37"/>
    <w:basedOn w:val="9"/>
    <w:qFormat/>
    <w:uiPriority w:val="0"/>
    <w:tblPr>
      <w:tblCellMar>
        <w:left w:w="115" w:type="dxa"/>
        <w:right w:w="115" w:type="dxa"/>
      </w:tblCellMar>
    </w:tblPr>
  </w:style>
  <w:style w:type="table" w:customStyle="1" w:styleId="40">
    <w:name w:val="_Style 38"/>
    <w:basedOn w:val="9"/>
    <w:qFormat/>
    <w:uiPriority w:val="0"/>
    <w:tblPr>
      <w:tblCellMar>
        <w:top w:w="15" w:type="dxa"/>
        <w:left w:w="115" w:type="dxa"/>
        <w:bottom w:w="15" w:type="dxa"/>
        <w:right w:w="115" w:type="dxa"/>
      </w:tblCellMar>
    </w:tblPr>
  </w:style>
  <w:style w:type="table" w:customStyle="1" w:styleId="41">
    <w:name w:val="_Style 39"/>
    <w:basedOn w:val="9"/>
    <w:qFormat/>
    <w:uiPriority w:val="0"/>
    <w:tblPr>
      <w:tblCellMar>
        <w:top w:w="15" w:type="dxa"/>
        <w:left w:w="115" w:type="dxa"/>
        <w:bottom w:w="15" w:type="dxa"/>
        <w:right w:w="115" w:type="dxa"/>
      </w:tblCellMar>
    </w:tblPr>
  </w:style>
  <w:style w:type="character" w:customStyle="1" w:styleId="42">
    <w:name w:val="Unresolved Mention"/>
    <w:basedOn w:val="8"/>
    <w:semiHidden/>
    <w:unhideWhenUsed/>
    <w:qFormat/>
    <w:uiPriority w:val="99"/>
    <w:rPr>
      <w:color w:val="605E5C"/>
      <w:shd w:val="clear" w:color="auto" w:fill="E1DFDD"/>
    </w:rPr>
  </w:style>
  <w:style w:type="character" w:customStyle="1" w:styleId="43">
    <w:name w:val="Body Text Char"/>
    <w:basedOn w:val="8"/>
    <w:link w:val="11"/>
    <w:qFormat/>
    <w:uiPriority w:val="1"/>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Ah4YsCk8XtTBaQ4mVwYiYHkJg==">CgMxLjAyCGguZ2pkZ3hzOAByITE2czJJMk1SZ2JyQWZSNzZOQXpRbW5BUVRVOW5IazNwcw==</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9AD6A8-C317-428A-8D4E-95A8981C62AA}">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7</Pages>
  <Words>753</Words>
  <Characters>4881</Characters>
  <Lines>259</Lines>
  <Paragraphs>73</Paragraphs>
  <TotalTime>1</TotalTime>
  <ScaleCrop>false</ScaleCrop>
  <LinksUpToDate>false</LinksUpToDate>
  <CharactersWithSpaces>5622</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2026-05-10T16:38:00Z</dcterms:created>
  <dc:creator>ismail - [2010]</dc:creator>
  <cp:lastModifiedBy>Yusmaniarti Yusmaniarti</cp:lastModifiedBy>
  <dcterms:modified xsi:type="dcterms:W3CDTF">2026-06-24T09:49:26Z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2021-08-22T00:00:00Z</vt:lpwstr>
  </property>
  <property fmtid="{D5CDD505-2E9C-101B-9397-08002B2CF9AE}" pid="3" name="Creator">
    <vt:lpwstr>Microsoft® Word 2010</vt:lpwstr>
  </property>
  <property fmtid="{D5CDD505-2E9C-101B-9397-08002B2CF9AE}" pid="4" name="LastSaved">
    <vt:lpwstr>2021-11-15T00:00:00Z</vt:lpwstr>
  </property>
  <property fmtid="{D5CDD505-2E9C-101B-9397-08002B2CF9AE}" pid="5" name="Mendeley Document_1">
    <vt:lpwstr>True</vt:lpwstr>
  </property>
  <property fmtid="{D5CDD505-2E9C-101B-9397-08002B2CF9AE}" pid="6" name="Mendeley Unique User Id_1">
    <vt:lpwstr>f8fc9704-08cf-366a-802e-c07b1f59a598</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6th/7th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18th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 (in-text citations)</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y fmtid="{D5CDD505-2E9C-101B-9397-08002B2CF9AE}" pid="28" name="KSOTemplateDocerSaveRecord">
    <vt:lpwstr>eyJoZGlkIjoiNjI2OGJhNTQ2MWJjNGFhZDE3MWE2ODM1MWI5MjdhNTUiLCJ1c2VySWQiOiI5NjIwNzc0MDQ4NjkifQ==</vt:lpwstr>
  </property>
  <property fmtid="{D5CDD505-2E9C-101B-9397-08002B2CF9AE}" pid="29" name="KSOProductBuildVer">
    <vt:lpwstr>1033-12.1.0.26880</vt:lpwstr>
  </property>
  <property fmtid="{D5CDD505-2E9C-101B-9397-08002B2CF9AE}" pid="30" name="ICV">
    <vt:lpwstr>7A3239048CB94718AEBCA5B71FC6CA90_13</vt:lpwstr>
  </property>
</Properties>
</file>